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5C881" w14:textId="290F6401" w:rsidR="00BB6758" w:rsidRPr="00436F64" w:rsidRDefault="00BB6758" w:rsidP="00BB6758">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12th Grade </w:t>
      </w:r>
      <w:hyperlink r:id="rId4" w:history="1">
        <w:r w:rsidRPr="00AB6C78">
          <w:rPr>
            <w:rStyle w:val="Hyperlink"/>
            <w:rFonts w:ascii="Calibri" w:hAnsi="Calibri"/>
            <w:b/>
            <w:sz w:val="32"/>
            <w:szCs w:val="32"/>
          </w:rPr>
          <w:t>First Amendment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BB6758" w:rsidRPr="00B2102A" w14:paraId="77EE217C" w14:textId="77777777" w:rsidTr="00311C0A">
        <w:trPr>
          <w:trHeight w:val="426"/>
        </w:trPr>
        <w:tc>
          <w:tcPr>
            <w:tcW w:w="11070" w:type="dxa"/>
            <w:gridSpan w:val="2"/>
            <w:shd w:val="clear" w:color="auto" w:fill="4472C4" w:themeFill="accent5"/>
            <w:vAlign w:val="center"/>
          </w:tcPr>
          <w:p w14:paraId="6009EDA1" w14:textId="77777777" w:rsidR="00BB6758" w:rsidRPr="00B2102A" w:rsidRDefault="00BB6758" w:rsidP="00311C0A">
            <w:pPr>
              <w:pStyle w:val="CompellingQuestion"/>
              <w:rPr>
                <w:rFonts w:eastAsia="Georgia" w:cs="Georgia"/>
                <w:sz w:val="32"/>
                <w:szCs w:val="32"/>
              </w:rPr>
            </w:pPr>
            <w:r>
              <w:rPr>
                <w:rFonts w:eastAsia="Georgia" w:cs="Georgia"/>
                <w:sz w:val="32"/>
                <w:szCs w:val="32"/>
              </w:rPr>
              <w:t>Are Students Protected by the First Amendment?</w:t>
            </w:r>
          </w:p>
        </w:tc>
      </w:tr>
      <w:tr w:rsidR="00BB6758" w:rsidRPr="00B2102A" w14:paraId="3DAEEB3D" w14:textId="77777777" w:rsidTr="00311C0A">
        <w:trPr>
          <w:trHeight w:val="521"/>
        </w:trPr>
        <w:tc>
          <w:tcPr>
            <w:tcW w:w="11070" w:type="dxa"/>
            <w:gridSpan w:val="2"/>
            <w:shd w:val="clear" w:color="auto" w:fill="auto"/>
          </w:tcPr>
          <w:p w14:paraId="058796C0" w14:textId="328BC255" w:rsidR="00BB6758" w:rsidRPr="0015513A" w:rsidRDefault="00BB6758" w:rsidP="00E14D6B">
            <w:pPr>
              <w:jc w:val="center"/>
              <w:rPr>
                <w:rFonts w:eastAsia="Georgia" w:cs="Georgia"/>
                <w:b/>
                <w:sz w:val="22"/>
                <w:szCs w:val="22"/>
              </w:rPr>
            </w:pPr>
            <w:r w:rsidRPr="00063834">
              <w:rPr>
                <w:rFonts w:eastAsia="Georgia" w:cs="Georgia"/>
                <w:b/>
                <w:sz w:val="22"/>
                <w:szCs w:val="22"/>
              </w:rPr>
              <w:t xml:space="preserve">Staging the Question: </w:t>
            </w:r>
            <w:r w:rsidR="00E14D6B" w:rsidRPr="00E14D6B">
              <w:rPr>
                <w:rFonts w:eastAsia="Georgia" w:cs="Georgia"/>
                <w:b/>
                <w:sz w:val="22"/>
                <w:szCs w:val="22"/>
              </w:rPr>
              <w:t xml:space="preserve">Read a story from the </w:t>
            </w:r>
            <w:r w:rsidR="00E14D6B" w:rsidRPr="000E18DB">
              <w:rPr>
                <w:rFonts w:eastAsia="Georgia" w:cs="Georgia"/>
                <w:b/>
                <w:i/>
                <w:sz w:val="22"/>
                <w:szCs w:val="22"/>
              </w:rPr>
              <w:t>Washington Post</w:t>
            </w:r>
            <w:r w:rsidR="00E14D6B" w:rsidRPr="00E14D6B">
              <w:rPr>
                <w:rFonts w:eastAsia="Georgia" w:cs="Georgia"/>
                <w:b/>
                <w:sz w:val="22"/>
                <w:szCs w:val="22"/>
              </w:rPr>
              <w:t xml:space="preserve"> about students in Ohio who were expelled for posting rap videos to their social media pages; then assess the actions of the school and the students.</w:t>
            </w:r>
          </w:p>
        </w:tc>
      </w:tr>
      <w:tr w:rsidR="00BB6758" w:rsidRPr="00B2102A" w14:paraId="28D93F5E" w14:textId="77777777" w:rsidTr="009C2221">
        <w:trPr>
          <w:trHeight w:val="188"/>
        </w:trPr>
        <w:tc>
          <w:tcPr>
            <w:tcW w:w="2594" w:type="dxa"/>
            <w:shd w:val="clear" w:color="auto" w:fill="auto"/>
          </w:tcPr>
          <w:p w14:paraId="7A83526E" w14:textId="77777777" w:rsidR="00BB6758" w:rsidRPr="00075334" w:rsidRDefault="00BB6758"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1AFE4CE9" w14:textId="77777777" w:rsidR="00BB6758" w:rsidRPr="00075334" w:rsidRDefault="00BB6758" w:rsidP="00311C0A">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2950BF56" wp14:editId="19C908DB">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0257B704"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Pr="00075334">
              <w:rPr>
                <w:color w:val="2F5496" w:themeColor="accent5" w:themeShade="BF"/>
              </w:rPr>
              <w:t xml:space="preserve">  </w:t>
            </w:r>
            <w:r w:rsidRPr="00075334">
              <w:rPr>
                <w:rFonts w:ascii="Calibri" w:hAnsi="Calibri"/>
                <w:b/>
                <w:color w:val="2F5496" w:themeColor="accent5" w:themeShade="BF"/>
                <w:sz w:val="20"/>
                <w:szCs w:val="20"/>
              </w:rPr>
              <w:t xml:space="preserve">Gathering, Using, and Interpreting Evidence   </w:t>
            </w:r>
            <w:r w:rsidRPr="00075334">
              <w:rPr>
                <w:rFonts w:ascii="Calibri" w:hAnsi="Calibri"/>
                <w:b/>
                <w:noProof/>
                <w:color w:val="2F5496" w:themeColor="accent5" w:themeShade="BF"/>
                <w:sz w:val="20"/>
                <w:szCs w:val="20"/>
              </w:rPr>
              <mc:AlternateContent>
                <mc:Choice Requires="wpg">
                  <w:drawing>
                    <wp:inline distT="0" distB="0" distL="0" distR="0" wp14:anchorId="50657F64" wp14:editId="60D50441">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cx="http://schemas.microsoft.com/office/drawing/2014/chartex" xmlns:cx1="http://schemas.microsoft.com/office/drawing/2015/9/8/chartex" xmlns:cx2="http://schemas.microsoft.com/office/drawing/2015/10/21/chartex" xmlns:w16se="http://schemas.microsoft.com/office/word/2015/wordml/symex"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E9ABA0D"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Pr>
                <w:rFonts w:ascii="Calibri" w:hAnsi="Calibri"/>
                <w:b/>
                <w:bCs/>
                <w:color w:val="2F5496" w:themeColor="accent5" w:themeShade="BF"/>
                <w:sz w:val="20"/>
                <w:szCs w:val="20"/>
              </w:rPr>
              <w:t xml:space="preserve">Civic Participation </w:t>
            </w:r>
          </w:p>
        </w:tc>
      </w:tr>
    </w:tbl>
    <w:tbl>
      <w:tblPr>
        <w:tblStyle w:val="TableGrid"/>
        <w:tblpPr w:leftFromText="187" w:rightFromText="187" w:vertAnchor="text" w:horzAnchor="page" w:tblpX="819" w:tblpY="1600"/>
        <w:tblW w:w="11071" w:type="dxa"/>
        <w:tblLook w:val="04A0" w:firstRow="1" w:lastRow="0" w:firstColumn="1" w:lastColumn="0" w:noHBand="0" w:noVBand="1"/>
      </w:tblPr>
      <w:tblGrid>
        <w:gridCol w:w="2603"/>
        <w:gridCol w:w="2875"/>
        <w:gridCol w:w="2704"/>
        <w:gridCol w:w="121"/>
        <w:gridCol w:w="2768"/>
      </w:tblGrid>
      <w:tr w:rsidR="00512A1B" w:rsidRPr="004B45A1" w14:paraId="6ED49AA8" w14:textId="77777777" w:rsidTr="00341C38">
        <w:trPr>
          <w:trHeight w:val="105"/>
        </w:trPr>
        <w:tc>
          <w:tcPr>
            <w:tcW w:w="2603" w:type="dxa"/>
            <w:shd w:val="clear" w:color="auto" w:fill="4472C4" w:themeFill="accent5"/>
          </w:tcPr>
          <w:p w14:paraId="6F0706C9" w14:textId="77777777" w:rsidR="009C2221" w:rsidRPr="00687199" w:rsidRDefault="009C2221" w:rsidP="00341C38">
            <w:pPr>
              <w:jc w:val="center"/>
              <w:rPr>
                <w:b/>
                <w:color w:val="FFFFFF" w:themeColor="background1"/>
                <w:sz w:val="20"/>
                <w:szCs w:val="20"/>
              </w:rPr>
            </w:pPr>
            <w:r w:rsidRPr="00687199">
              <w:rPr>
                <w:b/>
                <w:color w:val="FFFFFF" w:themeColor="background1"/>
                <w:sz w:val="20"/>
                <w:szCs w:val="20"/>
              </w:rPr>
              <w:t>Supporting Question 1</w:t>
            </w:r>
          </w:p>
        </w:tc>
        <w:tc>
          <w:tcPr>
            <w:tcW w:w="2875" w:type="dxa"/>
            <w:shd w:val="clear" w:color="auto" w:fill="4472C4" w:themeFill="accent5"/>
          </w:tcPr>
          <w:p w14:paraId="7B9C40BE" w14:textId="77777777" w:rsidR="009C2221" w:rsidRPr="00687199" w:rsidRDefault="009C2221" w:rsidP="009C2221">
            <w:pPr>
              <w:jc w:val="center"/>
              <w:rPr>
                <w:b/>
                <w:color w:val="FFFFFF" w:themeColor="background1"/>
                <w:sz w:val="20"/>
                <w:szCs w:val="20"/>
              </w:rPr>
            </w:pPr>
            <w:r w:rsidRPr="00687199">
              <w:rPr>
                <w:b/>
                <w:color w:val="FFFFFF" w:themeColor="background1"/>
                <w:sz w:val="20"/>
                <w:szCs w:val="20"/>
              </w:rPr>
              <w:t>Supporting Q</w:t>
            </w:r>
            <w:bookmarkStart w:id="0" w:name="_GoBack"/>
            <w:bookmarkEnd w:id="0"/>
            <w:r w:rsidRPr="00687199">
              <w:rPr>
                <w:b/>
                <w:color w:val="FFFFFF" w:themeColor="background1"/>
                <w:sz w:val="20"/>
                <w:szCs w:val="20"/>
              </w:rPr>
              <w:t>uestion 2</w:t>
            </w:r>
          </w:p>
        </w:tc>
        <w:tc>
          <w:tcPr>
            <w:tcW w:w="2704" w:type="dxa"/>
            <w:shd w:val="clear" w:color="auto" w:fill="4472C4" w:themeFill="accent5"/>
          </w:tcPr>
          <w:p w14:paraId="346CBB06" w14:textId="77777777" w:rsidR="009C2221" w:rsidRPr="00687199" w:rsidRDefault="009C2221" w:rsidP="009C2221">
            <w:pPr>
              <w:jc w:val="center"/>
              <w:rPr>
                <w:b/>
                <w:color w:val="FFFFFF" w:themeColor="background1"/>
                <w:sz w:val="20"/>
                <w:szCs w:val="20"/>
              </w:rPr>
            </w:pPr>
            <w:r w:rsidRPr="00687199">
              <w:rPr>
                <w:b/>
                <w:color w:val="FFFFFF" w:themeColor="background1"/>
                <w:sz w:val="20"/>
                <w:szCs w:val="20"/>
              </w:rPr>
              <w:t>Supporting Question 3</w:t>
            </w:r>
          </w:p>
        </w:tc>
        <w:tc>
          <w:tcPr>
            <w:tcW w:w="2889" w:type="dxa"/>
            <w:gridSpan w:val="2"/>
            <w:shd w:val="clear" w:color="auto" w:fill="4472C4" w:themeFill="accent5"/>
          </w:tcPr>
          <w:p w14:paraId="4A4FB4B7" w14:textId="77777777" w:rsidR="009C2221" w:rsidRPr="00687199" w:rsidRDefault="009C2221" w:rsidP="009C2221">
            <w:pPr>
              <w:jc w:val="center"/>
              <w:rPr>
                <w:b/>
                <w:color w:val="FFFFFF" w:themeColor="background1"/>
                <w:sz w:val="20"/>
                <w:szCs w:val="20"/>
              </w:rPr>
            </w:pPr>
            <w:r w:rsidRPr="00687199">
              <w:rPr>
                <w:b/>
                <w:color w:val="FFFFFF" w:themeColor="background1"/>
                <w:sz w:val="20"/>
                <w:szCs w:val="20"/>
              </w:rPr>
              <w:t>Supporting Question 4</w:t>
            </w:r>
          </w:p>
        </w:tc>
      </w:tr>
      <w:tr w:rsidR="00B91FD1" w14:paraId="11240C92" w14:textId="77777777" w:rsidTr="00341C38">
        <w:trPr>
          <w:trHeight w:val="722"/>
        </w:trPr>
        <w:tc>
          <w:tcPr>
            <w:tcW w:w="2603" w:type="dxa"/>
            <w:vAlign w:val="center"/>
          </w:tcPr>
          <w:p w14:paraId="6D3E187D" w14:textId="77777777" w:rsidR="009C2221" w:rsidRPr="00687199" w:rsidRDefault="009C2221" w:rsidP="009C2221">
            <w:pPr>
              <w:pStyle w:val="Tabletext"/>
              <w:rPr>
                <w:sz w:val="16"/>
                <w:szCs w:val="16"/>
              </w:rPr>
            </w:pPr>
            <w:r w:rsidRPr="00687199">
              <w:rPr>
                <w:sz w:val="16"/>
                <w:szCs w:val="16"/>
              </w:rPr>
              <w:t>What is the difference between the Tinker Standard and Fraser Standard as they relate to students’ free speech?</w:t>
            </w:r>
          </w:p>
        </w:tc>
        <w:tc>
          <w:tcPr>
            <w:tcW w:w="2875" w:type="dxa"/>
            <w:vAlign w:val="center"/>
          </w:tcPr>
          <w:p w14:paraId="023E5E30" w14:textId="77777777" w:rsidR="009C2221" w:rsidRPr="00687199" w:rsidRDefault="009C2221" w:rsidP="009C2221">
            <w:pPr>
              <w:pStyle w:val="Tabletext"/>
              <w:rPr>
                <w:sz w:val="16"/>
                <w:szCs w:val="16"/>
              </w:rPr>
            </w:pPr>
            <w:r w:rsidRPr="00687199">
              <w:rPr>
                <w:sz w:val="16"/>
                <w:szCs w:val="16"/>
              </w:rPr>
              <w:t>Does the “no prior restraint” rule apply to students?</w:t>
            </w:r>
          </w:p>
        </w:tc>
        <w:tc>
          <w:tcPr>
            <w:tcW w:w="2704" w:type="dxa"/>
            <w:vAlign w:val="center"/>
          </w:tcPr>
          <w:p w14:paraId="2DB004C5" w14:textId="77777777" w:rsidR="009C2221" w:rsidRPr="00687199" w:rsidRDefault="009C2221" w:rsidP="009C2221">
            <w:pPr>
              <w:pStyle w:val="Tabletext"/>
              <w:rPr>
                <w:sz w:val="16"/>
                <w:szCs w:val="16"/>
              </w:rPr>
            </w:pPr>
            <w:r w:rsidRPr="00687199">
              <w:rPr>
                <w:sz w:val="16"/>
                <w:szCs w:val="16"/>
              </w:rPr>
              <w:t>How does the Supreme Court determine the limits of students’ rights?</w:t>
            </w:r>
          </w:p>
        </w:tc>
        <w:tc>
          <w:tcPr>
            <w:tcW w:w="2889" w:type="dxa"/>
            <w:gridSpan w:val="2"/>
            <w:vAlign w:val="center"/>
          </w:tcPr>
          <w:p w14:paraId="54B3CF49" w14:textId="7E71DB52" w:rsidR="009C2221" w:rsidRPr="00687199" w:rsidRDefault="00B831F6" w:rsidP="009C2221">
            <w:pPr>
              <w:pStyle w:val="Tabletext"/>
              <w:rPr>
                <w:sz w:val="16"/>
                <w:szCs w:val="16"/>
              </w:rPr>
            </w:pPr>
            <w:r>
              <w:rPr>
                <w:sz w:val="16"/>
                <w:szCs w:val="16"/>
              </w:rPr>
              <w:t>Can school officials ex</w:t>
            </w:r>
            <w:r w:rsidR="009C2221" w:rsidRPr="00687199">
              <w:rPr>
                <w:sz w:val="16"/>
                <w:szCs w:val="16"/>
              </w:rPr>
              <w:t>ert control over students’ use of social media?</w:t>
            </w:r>
          </w:p>
        </w:tc>
      </w:tr>
      <w:tr w:rsidR="00B91FD1" w:rsidRPr="004B45A1" w14:paraId="235C2130" w14:textId="77777777" w:rsidTr="00341C38">
        <w:trPr>
          <w:trHeight w:val="294"/>
        </w:trPr>
        <w:tc>
          <w:tcPr>
            <w:tcW w:w="2603" w:type="dxa"/>
            <w:shd w:val="clear" w:color="auto" w:fill="4472C4" w:themeFill="accent5"/>
          </w:tcPr>
          <w:p w14:paraId="2F0309D8" w14:textId="77777777" w:rsidR="009C2221" w:rsidRPr="00512A1B" w:rsidRDefault="009C2221" w:rsidP="00341C38">
            <w:pPr>
              <w:jc w:val="center"/>
              <w:rPr>
                <w:b/>
                <w:color w:val="FFFFFF" w:themeColor="background1"/>
                <w:sz w:val="20"/>
                <w:szCs w:val="20"/>
              </w:rPr>
            </w:pPr>
            <w:r w:rsidRPr="00512A1B">
              <w:rPr>
                <w:b/>
                <w:color w:val="FFFFFF" w:themeColor="background1"/>
                <w:sz w:val="20"/>
                <w:szCs w:val="20"/>
              </w:rPr>
              <w:t>Formative Performance Task</w:t>
            </w:r>
          </w:p>
        </w:tc>
        <w:tc>
          <w:tcPr>
            <w:tcW w:w="2875" w:type="dxa"/>
            <w:shd w:val="clear" w:color="auto" w:fill="4472C4" w:themeFill="accent5"/>
          </w:tcPr>
          <w:p w14:paraId="229D5DEA" w14:textId="77777777" w:rsidR="009C2221" w:rsidRPr="00512A1B" w:rsidRDefault="009C2221" w:rsidP="00341C38">
            <w:pPr>
              <w:jc w:val="center"/>
              <w:rPr>
                <w:b/>
                <w:color w:val="FFFFFF" w:themeColor="background1"/>
                <w:sz w:val="20"/>
                <w:szCs w:val="20"/>
              </w:rPr>
            </w:pPr>
            <w:r w:rsidRPr="00512A1B">
              <w:rPr>
                <w:b/>
                <w:color w:val="FFFFFF" w:themeColor="background1"/>
                <w:sz w:val="20"/>
                <w:szCs w:val="20"/>
              </w:rPr>
              <w:t>Formative Performance Task</w:t>
            </w:r>
          </w:p>
        </w:tc>
        <w:tc>
          <w:tcPr>
            <w:tcW w:w="2704" w:type="dxa"/>
            <w:shd w:val="clear" w:color="auto" w:fill="4472C4" w:themeFill="accent5"/>
          </w:tcPr>
          <w:p w14:paraId="0A28A790" w14:textId="77777777" w:rsidR="009C2221" w:rsidRPr="00512A1B" w:rsidRDefault="009C2221" w:rsidP="00341C38">
            <w:pPr>
              <w:jc w:val="center"/>
              <w:rPr>
                <w:b/>
                <w:color w:val="FFFFFF" w:themeColor="background1"/>
                <w:sz w:val="20"/>
                <w:szCs w:val="20"/>
              </w:rPr>
            </w:pPr>
            <w:r w:rsidRPr="00512A1B">
              <w:rPr>
                <w:b/>
                <w:color w:val="FFFFFF" w:themeColor="background1"/>
                <w:sz w:val="20"/>
                <w:szCs w:val="20"/>
              </w:rPr>
              <w:t>Formative Performance Task</w:t>
            </w:r>
          </w:p>
        </w:tc>
        <w:tc>
          <w:tcPr>
            <w:tcW w:w="2889" w:type="dxa"/>
            <w:gridSpan w:val="2"/>
            <w:shd w:val="clear" w:color="auto" w:fill="4472C4" w:themeFill="accent5"/>
          </w:tcPr>
          <w:p w14:paraId="54B0F2B6" w14:textId="77777777" w:rsidR="009C2221" w:rsidRPr="00512A1B" w:rsidRDefault="009C2221" w:rsidP="00341C38">
            <w:pPr>
              <w:jc w:val="center"/>
              <w:rPr>
                <w:b/>
                <w:color w:val="FFFFFF" w:themeColor="background1"/>
                <w:sz w:val="20"/>
                <w:szCs w:val="20"/>
              </w:rPr>
            </w:pPr>
            <w:r w:rsidRPr="00512A1B">
              <w:rPr>
                <w:b/>
                <w:color w:val="FFFFFF" w:themeColor="background1"/>
                <w:sz w:val="20"/>
                <w:szCs w:val="20"/>
              </w:rPr>
              <w:t>Formative Performance Task</w:t>
            </w:r>
          </w:p>
        </w:tc>
      </w:tr>
      <w:tr w:rsidR="00B91FD1" w14:paraId="563C1DD1" w14:textId="77777777" w:rsidTr="00341C38">
        <w:trPr>
          <w:trHeight w:val="407"/>
        </w:trPr>
        <w:tc>
          <w:tcPr>
            <w:tcW w:w="2603" w:type="dxa"/>
            <w:vAlign w:val="center"/>
          </w:tcPr>
          <w:p w14:paraId="2071E596" w14:textId="77777777" w:rsidR="009C2221" w:rsidRPr="00687199" w:rsidRDefault="009C2221" w:rsidP="00925B67">
            <w:pPr>
              <w:pStyle w:val="Keypractices"/>
              <w:ind w:left="0"/>
              <w:rPr>
                <w:b w:val="0"/>
                <w:noProof/>
                <w:color w:val="auto"/>
                <w:sz w:val="16"/>
                <w:szCs w:val="16"/>
              </w:rPr>
            </w:pPr>
            <w:r w:rsidRPr="00687199">
              <w:rPr>
                <w:b w:val="0"/>
                <w:noProof/>
                <w:color w:val="auto"/>
                <w:sz w:val="16"/>
                <w:szCs w:val="16"/>
              </w:rPr>
              <w:t xml:space="preserve">Complete a T-chart on the differences between the Tinker Standard and Fraser Standard. </w:t>
            </w:r>
          </w:p>
        </w:tc>
        <w:tc>
          <w:tcPr>
            <w:tcW w:w="2875" w:type="dxa"/>
            <w:vAlign w:val="center"/>
          </w:tcPr>
          <w:p w14:paraId="4C817958" w14:textId="6FBD9D5D" w:rsidR="009C2221" w:rsidRPr="00687199" w:rsidRDefault="009C2221" w:rsidP="009C2221">
            <w:pPr>
              <w:pStyle w:val="Keypractices"/>
              <w:ind w:left="0"/>
              <w:rPr>
                <w:b w:val="0"/>
                <w:noProof/>
                <w:color w:val="auto"/>
                <w:sz w:val="16"/>
                <w:szCs w:val="16"/>
              </w:rPr>
            </w:pPr>
            <w:r w:rsidRPr="00687199">
              <w:rPr>
                <w:b w:val="0"/>
                <w:noProof/>
                <w:color w:val="auto"/>
                <w:sz w:val="16"/>
                <w:szCs w:val="16"/>
              </w:rPr>
              <w:t>Explain in a paragraph the e</w:t>
            </w:r>
            <w:r w:rsidR="00B1290E">
              <w:rPr>
                <w:b w:val="0"/>
                <w:noProof/>
                <w:color w:val="auto"/>
                <w:sz w:val="16"/>
                <w:szCs w:val="16"/>
              </w:rPr>
              <w:t>xtent to which the Constitution</w:t>
            </w:r>
            <w:r w:rsidRPr="00687199">
              <w:rPr>
                <w:b w:val="0"/>
                <w:noProof/>
                <w:color w:val="auto"/>
                <w:sz w:val="16"/>
                <w:szCs w:val="16"/>
              </w:rPr>
              <w:t xml:space="preserve">’s no prior restraint rule applies to the Hazelwood and Layshock cases. </w:t>
            </w:r>
          </w:p>
        </w:tc>
        <w:tc>
          <w:tcPr>
            <w:tcW w:w="2704" w:type="dxa"/>
            <w:vAlign w:val="center"/>
          </w:tcPr>
          <w:p w14:paraId="1E18F43F" w14:textId="77777777" w:rsidR="009C2221" w:rsidRPr="00687199" w:rsidRDefault="009C2221" w:rsidP="00925B67">
            <w:pPr>
              <w:pStyle w:val="Keypractices"/>
              <w:ind w:left="0"/>
              <w:rPr>
                <w:b w:val="0"/>
                <w:noProof/>
                <w:color w:val="auto"/>
                <w:sz w:val="16"/>
                <w:szCs w:val="16"/>
              </w:rPr>
            </w:pPr>
            <w:r w:rsidRPr="00687199">
              <w:rPr>
                <w:b w:val="0"/>
                <w:noProof/>
                <w:color w:val="auto"/>
                <w:sz w:val="16"/>
                <w:szCs w:val="16"/>
              </w:rPr>
              <w:t xml:space="preserve">Write a concurring or a dissenting opinion on </w:t>
            </w:r>
            <w:r w:rsidRPr="002D1963">
              <w:rPr>
                <w:b w:val="0"/>
                <w:i/>
                <w:noProof/>
                <w:color w:val="auto"/>
                <w:sz w:val="16"/>
                <w:szCs w:val="16"/>
              </w:rPr>
              <w:t>Morse v. Frederick</w:t>
            </w:r>
            <w:r w:rsidRPr="00687199">
              <w:rPr>
                <w:b w:val="0"/>
                <w:noProof/>
                <w:color w:val="auto"/>
                <w:sz w:val="16"/>
                <w:szCs w:val="16"/>
              </w:rPr>
              <w:t xml:space="preserve">. </w:t>
            </w:r>
          </w:p>
        </w:tc>
        <w:tc>
          <w:tcPr>
            <w:tcW w:w="2889" w:type="dxa"/>
            <w:gridSpan w:val="2"/>
            <w:vAlign w:val="center"/>
          </w:tcPr>
          <w:p w14:paraId="3E5ECF1B" w14:textId="77777777" w:rsidR="009C2221" w:rsidRPr="00687199" w:rsidRDefault="009C2221" w:rsidP="00925B67">
            <w:pPr>
              <w:pStyle w:val="Keypractices"/>
              <w:ind w:left="0"/>
              <w:rPr>
                <w:b w:val="0"/>
                <w:noProof/>
                <w:color w:val="auto"/>
                <w:sz w:val="16"/>
                <w:szCs w:val="16"/>
              </w:rPr>
            </w:pPr>
            <w:r w:rsidRPr="00687199">
              <w:rPr>
                <w:b w:val="0"/>
                <w:noProof/>
                <w:color w:val="auto"/>
                <w:sz w:val="16"/>
                <w:szCs w:val="16"/>
              </w:rPr>
              <w:t xml:space="preserve">Develop a claim supported by evidence about school control over social media that answers the supporting question. </w:t>
            </w:r>
          </w:p>
        </w:tc>
      </w:tr>
      <w:tr w:rsidR="009C2221" w14:paraId="440AFFAA" w14:textId="77777777" w:rsidTr="00341C38">
        <w:trPr>
          <w:cantSplit/>
          <w:trHeight w:val="99"/>
        </w:trPr>
        <w:tc>
          <w:tcPr>
            <w:tcW w:w="11071" w:type="dxa"/>
            <w:gridSpan w:val="5"/>
            <w:shd w:val="clear" w:color="auto" w:fill="E7E6E6" w:themeFill="background2"/>
            <w:vAlign w:val="center"/>
          </w:tcPr>
          <w:p w14:paraId="5B50C10D" w14:textId="77777777" w:rsidR="009C2221" w:rsidRPr="00CD5B17" w:rsidRDefault="009C2221" w:rsidP="009C2221">
            <w:pPr>
              <w:jc w:val="center"/>
              <w:rPr>
                <w:b/>
              </w:rPr>
            </w:pPr>
            <w:r w:rsidRPr="00CD5B17">
              <w:rPr>
                <w:b/>
                <w:i/>
                <w:noProof/>
                <w:color w:val="000000" w:themeColor="text1"/>
              </w:rPr>
              <w:t>Integration of Inquiry Process and Skills</w:t>
            </w:r>
          </w:p>
        </w:tc>
      </w:tr>
      <w:tr w:rsidR="00341C38" w14:paraId="71CFA8A8" w14:textId="77777777" w:rsidTr="00341C38">
        <w:trPr>
          <w:cantSplit/>
          <w:trHeight w:val="84"/>
        </w:trPr>
        <w:tc>
          <w:tcPr>
            <w:tcW w:w="2603" w:type="dxa"/>
            <w:shd w:val="clear" w:color="auto" w:fill="4472C4" w:themeFill="accent5"/>
          </w:tcPr>
          <w:p w14:paraId="541D87DB" w14:textId="41B8A42C" w:rsidR="00341C38" w:rsidRPr="00CD5B17" w:rsidRDefault="00341C38" w:rsidP="00341C38">
            <w:pPr>
              <w:jc w:val="center"/>
              <w:rPr>
                <w:b/>
                <w:i/>
                <w:noProof/>
                <w:color w:val="000000" w:themeColor="text1"/>
              </w:rPr>
            </w:pPr>
            <w:r w:rsidRPr="00687199">
              <w:rPr>
                <w:b/>
                <w:color w:val="FFFFFF" w:themeColor="background1"/>
                <w:sz w:val="20"/>
                <w:szCs w:val="20"/>
              </w:rPr>
              <w:t>Supporting Question 1</w:t>
            </w:r>
          </w:p>
        </w:tc>
        <w:tc>
          <w:tcPr>
            <w:tcW w:w="2875" w:type="dxa"/>
            <w:shd w:val="clear" w:color="auto" w:fill="4472C4" w:themeFill="accent5"/>
          </w:tcPr>
          <w:p w14:paraId="0BF1BC78" w14:textId="637F1050" w:rsidR="00341C38" w:rsidRPr="00CD5B17" w:rsidRDefault="00341C38" w:rsidP="00341C38">
            <w:pPr>
              <w:jc w:val="center"/>
              <w:rPr>
                <w:b/>
                <w:i/>
                <w:noProof/>
                <w:color w:val="000000" w:themeColor="text1"/>
              </w:rPr>
            </w:pPr>
            <w:r w:rsidRPr="00687199">
              <w:rPr>
                <w:b/>
                <w:color w:val="FFFFFF" w:themeColor="background1"/>
                <w:sz w:val="20"/>
                <w:szCs w:val="20"/>
              </w:rPr>
              <w:t>Supporting Question 2</w:t>
            </w:r>
          </w:p>
        </w:tc>
        <w:tc>
          <w:tcPr>
            <w:tcW w:w="2825" w:type="dxa"/>
            <w:gridSpan w:val="2"/>
            <w:shd w:val="clear" w:color="auto" w:fill="4472C4" w:themeFill="accent5"/>
          </w:tcPr>
          <w:p w14:paraId="53D80E40" w14:textId="1CA1AF39" w:rsidR="00341C38" w:rsidRPr="00CD5B17" w:rsidRDefault="00341C38" w:rsidP="00341C38">
            <w:pPr>
              <w:jc w:val="center"/>
              <w:rPr>
                <w:b/>
                <w:i/>
                <w:noProof/>
                <w:color w:val="000000" w:themeColor="text1"/>
              </w:rPr>
            </w:pPr>
            <w:r w:rsidRPr="00687199">
              <w:rPr>
                <w:b/>
                <w:color w:val="FFFFFF" w:themeColor="background1"/>
                <w:sz w:val="20"/>
                <w:szCs w:val="20"/>
              </w:rPr>
              <w:t>Supporting Question 3</w:t>
            </w:r>
          </w:p>
        </w:tc>
        <w:tc>
          <w:tcPr>
            <w:tcW w:w="2768" w:type="dxa"/>
            <w:shd w:val="clear" w:color="auto" w:fill="4472C4" w:themeFill="accent5"/>
          </w:tcPr>
          <w:p w14:paraId="2AC56565" w14:textId="01CBCF3D" w:rsidR="00341C38" w:rsidRPr="00CD5B17" w:rsidRDefault="00341C38" w:rsidP="00341C38">
            <w:pPr>
              <w:jc w:val="center"/>
              <w:rPr>
                <w:b/>
                <w:i/>
                <w:noProof/>
                <w:color w:val="000000" w:themeColor="text1"/>
              </w:rPr>
            </w:pPr>
            <w:r w:rsidRPr="00687199">
              <w:rPr>
                <w:b/>
                <w:color w:val="FFFFFF" w:themeColor="background1"/>
                <w:sz w:val="20"/>
                <w:szCs w:val="20"/>
              </w:rPr>
              <w:t>Supporting Question 4</w:t>
            </w:r>
          </w:p>
        </w:tc>
      </w:tr>
      <w:tr w:rsidR="00B91FD1" w:rsidRPr="005515B1" w14:paraId="1CB5E897" w14:textId="77777777" w:rsidTr="00341C38">
        <w:trPr>
          <w:trHeight w:val="1446"/>
        </w:trPr>
        <w:tc>
          <w:tcPr>
            <w:tcW w:w="2603" w:type="dxa"/>
          </w:tcPr>
          <w:p w14:paraId="68475676" w14:textId="40C11845" w:rsidR="002D1963" w:rsidRDefault="009C2221" w:rsidP="00925B67">
            <w:pPr>
              <w:pStyle w:val="Keypractices"/>
              <w:ind w:left="0"/>
              <w:rPr>
                <w:b w:val="0"/>
                <w:noProof/>
                <w:color w:val="auto"/>
                <w:sz w:val="16"/>
                <w:szCs w:val="16"/>
              </w:rPr>
            </w:pPr>
            <w:r w:rsidRPr="007C37FB">
              <w:rPr>
                <w:noProof/>
                <w:color w:val="2F5496" w:themeColor="accent5" w:themeShade="BF"/>
                <w:sz w:val="16"/>
                <w:szCs w:val="16"/>
              </w:rPr>
              <w:t xml:space="preserve">Connect: </w:t>
            </w:r>
            <w:r w:rsidRPr="002D1963">
              <w:rPr>
                <w:noProof/>
                <w:color w:val="auto"/>
                <w:sz w:val="16"/>
                <w:szCs w:val="16"/>
              </w:rPr>
              <w:t xml:space="preserve">Uses sources to acquire </w:t>
            </w:r>
            <w:r w:rsidR="001B7DEE" w:rsidRPr="002D1963">
              <w:rPr>
                <w:noProof/>
                <w:color w:val="auto"/>
                <w:sz w:val="16"/>
                <w:szCs w:val="16"/>
              </w:rPr>
              <w:t>background information</w:t>
            </w:r>
            <w:r w:rsidR="00AA35BF">
              <w:rPr>
                <w:b w:val="0"/>
                <w:noProof/>
                <w:color w:val="auto"/>
                <w:sz w:val="16"/>
                <w:szCs w:val="16"/>
              </w:rPr>
              <w:t xml:space="preserve"> </w:t>
            </w:r>
            <w:r w:rsidR="002D1963">
              <w:rPr>
                <w:b w:val="0"/>
                <w:noProof/>
                <w:color w:val="auto"/>
                <w:sz w:val="16"/>
                <w:szCs w:val="16"/>
              </w:rPr>
              <w:t xml:space="preserve">on students’ rights by reading a story from the </w:t>
            </w:r>
            <w:r w:rsidR="002D1963">
              <w:rPr>
                <w:b w:val="0"/>
                <w:i/>
                <w:noProof/>
                <w:color w:val="auto"/>
                <w:sz w:val="16"/>
                <w:szCs w:val="16"/>
              </w:rPr>
              <w:t>Washington Post</w:t>
            </w:r>
            <w:r w:rsidR="002D1963">
              <w:rPr>
                <w:b w:val="0"/>
                <w:noProof/>
                <w:color w:val="auto"/>
                <w:sz w:val="16"/>
                <w:szCs w:val="16"/>
              </w:rPr>
              <w:t>.</w:t>
            </w:r>
          </w:p>
          <w:p w14:paraId="74FF04D5" w14:textId="5DCC727A" w:rsidR="009C2221" w:rsidRPr="00FB7BC9" w:rsidRDefault="009C2221" w:rsidP="002D1963">
            <w:pPr>
              <w:pStyle w:val="Keypractices"/>
              <w:ind w:left="0"/>
              <w:rPr>
                <w:b w:val="0"/>
                <w:szCs w:val="18"/>
              </w:rPr>
            </w:pPr>
            <w:r w:rsidRPr="00CD5B17">
              <w:rPr>
                <w:noProof/>
                <w:color w:val="auto"/>
                <w:sz w:val="16"/>
                <w:szCs w:val="16"/>
              </w:rPr>
              <w:t>Graphic Organizer:</w:t>
            </w:r>
            <w:r w:rsidRPr="007C37FB">
              <w:rPr>
                <w:b w:val="0"/>
                <w:noProof/>
                <w:color w:val="auto"/>
                <w:sz w:val="16"/>
                <w:szCs w:val="16"/>
              </w:rPr>
              <w:t xml:space="preserve"> </w:t>
            </w:r>
            <w:hyperlink r:id="rId7" w:anchor="connect11" w:history="1">
              <w:r w:rsidR="00ED2922" w:rsidRPr="00C2217B">
                <w:rPr>
                  <w:rStyle w:val="Hyperlink"/>
                  <w:noProof/>
                  <w:sz w:val="16"/>
                  <w:szCs w:val="16"/>
                </w:rPr>
                <w:t>Connect#11</w:t>
              </w:r>
            </w:hyperlink>
          </w:p>
        </w:tc>
        <w:tc>
          <w:tcPr>
            <w:tcW w:w="2875" w:type="dxa"/>
          </w:tcPr>
          <w:p w14:paraId="35F149F0" w14:textId="49DED492" w:rsidR="00FD772D" w:rsidRDefault="009C2221" w:rsidP="00FD772D">
            <w:pPr>
              <w:rPr>
                <w:noProof/>
                <w:sz w:val="16"/>
                <w:szCs w:val="16"/>
              </w:rPr>
            </w:pPr>
            <w:r w:rsidRPr="001D025E">
              <w:rPr>
                <w:b/>
                <w:noProof/>
                <w:color w:val="2F5496" w:themeColor="accent5" w:themeShade="BF"/>
                <w:sz w:val="16"/>
                <w:szCs w:val="16"/>
              </w:rPr>
              <w:t>Connect:</w:t>
            </w:r>
            <w:r w:rsidRPr="001D025E">
              <w:rPr>
                <w:noProof/>
                <w:color w:val="2F5496" w:themeColor="accent5" w:themeShade="BF"/>
                <w:sz w:val="16"/>
                <w:szCs w:val="16"/>
              </w:rPr>
              <w:t xml:space="preserve"> </w:t>
            </w:r>
            <w:r w:rsidR="00C67B8A" w:rsidRPr="00FD772D">
              <w:rPr>
                <w:b/>
                <w:noProof/>
                <w:sz w:val="16"/>
                <w:szCs w:val="16"/>
              </w:rPr>
              <w:t>Uses sources to acquire background information</w:t>
            </w:r>
            <w:r w:rsidR="00C67B8A">
              <w:rPr>
                <w:noProof/>
                <w:sz w:val="16"/>
                <w:szCs w:val="16"/>
              </w:rPr>
              <w:t xml:space="preserve"> about the Hazelwood and Layshock cases and </w:t>
            </w:r>
            <w:r w:rsidR="00B1290E">
              <w:rPr>
                <w:noProof/>
                <w:sz w:val="16"/>
                <w:szCs w:val="16"/>
              </w:rPr>
              <w:t xml:space="preserve">the </w:t>
            </w:r>
            <w:r w:rsidR="00FD772D">
              <w:rPr>
                <w:noProof/>
                <w:sz w:val="16"/>
                <w:szCs w:val="16"/>
              </w:rPr>
              <w:t>no prior rest</w:t>
            </w:r>
            <w:r w:rsidR="00B1290E">
              <w:rPr>
                <w:noProof/>
                <w:sz w:val="16"/>
                <w:szCs w:val="16"/>
              </w:rPr>
              <w:t>raint</w:t>
            </w:r>
            <w:r w:rsidR="00FD772D">
              <w:rPr>
                <w:noProof/>
                <w:sz w:val="16"/>
                <w:szCs w:val="16"/>
              </w:rPr>
              <w:t xml:space="preserve"> rule.</w:t>
            </w:r>
          </w:p>
          <w:p w14:paraId="766944AE" w14:textId="07509F32" w:rsidR="009C2221" w:rsidRPr="00FB7BC9" w:rsidRDefault="00C67B8A" w:rsidP="00FD772D">
            <w:pPr>
              <w:rPr>
                <w:rFonts w:ascii="Calibri" w:hAnsi="Calibri"/>
                <w:b/>
                <w:sz w:val="18"/>
                <w:szCs w:val="18"/>
              </w:rPr>
            </w:pPr>
            <w:r w:rsidRPr="001D025E">
              <w:rPr>
                <w:b/>
                <w:noProof/>
                <w:sz w:val="16"/>
                <w:szCs w:val="16"/>
              </w:rPr>
              <w:t>Graphic Organizer</w:t>
            </w:r>
            <w:r w:rsidRPr="001D025E">
              <w:rPr>
                <w:noProof/>
                <w:sz w:val="16"/>
                <w:szCs w:val="16"/>
              </w:rPr>
              <w:t xml:space="preserve">: </w:t>
            </w:r>
            <w:hyperlink r:id="rId8" w:anchor="connect11" w:history="1">
              <w:r w:rsidR="00ED2922" w:rsidRPr="00ED2922">
                <w:rPr>
                  <w:rStyle w:val="Hyperlink"/>
                  <w:b/>
                  <w:noProof/>
                  <w:sz w:val="16"/>
                  <w:szCs w:val="16"/>
                </w:rPr>
                <w:t>Connect#11</w:t>
              </w:r>
            </w:hyperlink>
          </w:p>
        </w:tc>
        <w:tc>
          <w:tcPr>
            <w:tcW w:w="2704" w:type="dxa"/>
          </w:tcPr>
          <w:p w14:paraId="14730907" w14:textId="2DDC52F8" w:rsidR="00CB4D68" w:rsidRDefault="009C2221" w:rsidP="00925B67">
            <w:pPr>
              <w:pStyle w:val="Keypractices"/>
              <w:ind w:left="0"/>
              <w:rPr>
                <w:b w:val="0"/>
                <w:noProof/>
                <w:color w:val="auto"/>
                <w:sz w:val="16"/>
                <w:szCs w:val="16"/>
              </w:rPr>
            </w:pPr>
            <w:r w:rsidRPr="007C37FB">
              <w:rPr>
                <w:noProof/>
                <w:color w:val="2F5496" w:themeColor="accent5" w:themeShade="BF"/>
                <w:sz w:val="16"/>
                <w:szCs w:val="16"/>
              </w:rPr>
              <w:t xml:space="preserve">Connect: </w:t>
            </w:r>
            <w:r w:rsidRPr="00CB4D68">
              <w:rPr>
                <w:noProof/>
                <w:color w:val="auto"/>
                <w:sz w:val="16"/>
                <w:szCs w:val="16"/>
              </w:rPr>
              <w:t>Revises the question as needed to arrive at a manageable topic for inquiry</w:t>
            </w:r>
            <w:r w:rsidR="00B91FD1">
              <w:rPr>
                <w:b w:val="0"/>
                <w:noProof/>
                <w:color w:val="auto"/>
                <w:sz w:val="16"/>
                <w:szCs w:val="16"/>
              </w:rPr>
              <w:t xml:space="preserve"> about how the Supreme Court determines the limits of students’ rights</w:t>
            </w:r>
            <w:r w:rsidRPr="007C37FB">
              <w:rPr>
                <w:b w:val="0"/>
                <w:noProof/>
                <w:color w:val="auto"/>
                <w:sz w:val="16"/>
                <w:szCs w:val="16"/>
              </w:rPr>
              <w:t xml:space="preserve">. </w:t>
            </w:r>
          </w:p>
          <w:p w14:paraId="3F7CB73B" w14:textId="4ED7D01A" w:rsidR="009C2221" w:rsidRPr="00FB7BC9" w:rsidRDefault="009C2221" w:rsidP="00CB4D68">
            <w:pPr>
              <w:pStyle w:val="Keypractices"/>
              <w:ind w:left="0"/>
              <w:rPr>
                <w:b w:val="0"/>
                <w:szCs w:val="18"/>
              </w:rPr>
            </w:pPr>
            <w:r w:rsidRPr="00CD5B17">
              <w:rPr>
                <w:noProof/>
                <w:color w:val="auto"/>
                <w:sz w:val="16"/>
                <w:szCs w:val="16"/>
              </w:rPr>
              <w:t xml:space="preserve">Graphic Organizer: </w:t>
            </w:r>
            <w:hyperlink r:id="rId9" w:anchor="connect16" w:history="1">
              <w:r w:rsidR="00ED2922" w:rsidRPr="00ED2922">
                <w:rPr>
                  <w:rStyle w:val="Hyperlink"/>
                  <w:noProof/>
                  <w:sz w:val="16"/>
                  <w:szCs w:val="16"/>
                </w:rPr>
                <w:t>Connect#16</w:t>
              </w:r>
            </w:hyperlink>
            <w:r w:rsidR="00ED2922">
              <w:rPr>
                <w:noProof/>
                <w:color w:val="auto"/>
                <w:sz w:val="16"/>
                <w:szCs w:val="16"/>
              </w:rPr>
              <w:t xml:space="preserve"> and </w:t>
            </w:r>
            <w:hyperlink r:id="rId10" w:anchor="connect17" w:history="1">
              <w:r w:rsidR="00ED2922" w:rsidRPr="00ED2922">
                <w:rPr>
                  <w:rStyle w:val="Hyperlink"/>
                  <w:noProof/>
                  <w:sz w:val="16"/>
                  <w:szCs w:val="16"/>
                </w:rPr>
                <w:t>Connect#17</w:t>
              </w:r>
            </w:hyperlink>
          </w:p>
        </w:tc>
        <w:tc>
          <w:tcPr>
            <w:tcW w:w="2889" w:type="dxa"/>
            <w:gridSpan w:val="2"/>
          </w:tcPr>
          <w:p w14:paraId="1E087058" w14:textId="705A81A1" w:rsidR="00802A90" w:rsidRDefault="009C2221" w:rsidP="00925B67">
            <w:pPr>
              <w:pStyle w:val="Keypractices"/>
              <w:ind w:left="0"/>
              <w:rPr>
                <w:rFonts w:eastAsia="Calibri" w:cs="Calibri"/>
                <w:b w:val="0"/>
                <w:color w:val="000000" w:themeColor="text1"/>
                <w:sz w:val="16"/>
                <w:szCs w:val="16"/>
              </w:rPr>
            </w:pPr>
            <w:r w:rsidRPr="007C37FB">
              <w:rPr>
                <w:noProof/>
                <w:color w:val="2F5496" w:themeColor="accent5" w:themeShade="BF"/>
                <w:sz w:val="16"/>
                <w:szCs w:val="16"/>
              </w:rPr>
              <w:t>Connect</w:t>
            </w:r>
            <w:r w:rsidR="00B1290E" w:rsidRPr="00B1290E">
              <w:rPr>
                <w:noProof/>
                <w:color w:val="auto"/>
                <w:sz w:val="16"/>
                <w:szCs w:val="16"/>
              </w:rPr>
              <w:t>:</w:t>
            </w:r>
            <w:r w:rsidRPr="00B1290E">
              <w:rPr>
                <w:rFonts w:eastAsia="Calibri" w:cs="Calibri"/>
                <w:color w:val="000000" w:themeColor="text1"/>
                <w:sz w:val="16"/>
                <w:szCs w:val="16"/>
              </w:rPr>
              <w:t xml:space="preserve"> Explores problems or questions for which there are multiple answers or no “best” answer</w:t>
            </w:r>
            <w:r w:rsidR="00B91FD1" w:rsidRPr="00B1290E">
              <w:rPr>
                <w:rFonts w:eastAsia="Calibri" w:cs="Calibri"/>
                <w:color w:val="000000" w:themeColor="text1"/>
                <w:sz w:val="16"/>
                <w:szCs w:val="16"/>
              </w:rPr>
              <w:t xml:space="preserve"> </w:t>
            </w:r>
            <w:r w:rsidR="00B91FD1">
              <w:rPr>
                <w:rFonts w:eastAsia="Calibri" w:cs="Calibri"/>
                <w:b w:val="0"/>
                <w:color w:val="000000" w:themeColor="text1"/>
                <w:sz w:val="16"/>
                <w:szCs w:val="16"/>
              </w:rPr>
              <w:t>about whet</w:t>
            </w:r>
            <w:r w:rsidR="00B1290E">
              <w:rPr>
                <w:rFonts w:eastAsia="Calibri" w:cs="Calibri"/>
                <w:b w:val="0"/>
                <w:color w:val="000000" w:themeColor="text1"/>
                <w:sz w:val="16"/>
                <w:szCs w:val="16"/>
              </w:rPr>
              <w:t>her or not school officials can</w:t>
            </w:r>
            <w:r w:rsidR="00B831F6">
              <w:rPr>
                <w:rFonts w:eastAsia="Calibri" w:cs="Calibri"/>
                <w:b w:val="0"/>
                <w:color w:val="000000" w:themeColor="text1"/>
                <w:sz w:val="16"/>
                <w:szCs w:val="16"/>
              </w:rPr>
              <w:t xml:space="preserve"> ex</w:t>
            </w:r>
            <w:r w:rsidR="00B91FD1">
              <w:rPr>
                <w:rFonts w:eastAsia="Calibri" w:cs="Calibri"/>
                <w:b w:val="0"/>
                <w:color w:val="000000" w:themeColor="text1"/>
                <w:sz w:val="16"/>
                <w:szCs w:val="16"/>
              </w:rPr>
              <w:t>ert control over students’ use of social media</w:t>
            </w:r>
            <w:r w:rsidRPr="007C37FB">
              <w:rPr>
                <w:rFonts w:eastAsia="Calibri" w:cs="Calibri"/>
                <w:b w:val="0"/>
                <w:color w:val="000000" w:themeColor="text1"/>
                <w:sz w:val="16"/>
                <w:szCs w:val="16"/>
              </w:rPr>
              <w:t xml:space="preserve">. </w:t>
            </w:r>
          </w:p>
          <w:p w14:paraId="2E8E1B31" w14:textId="20199CB1" w:rsidR="009C2221" w:rsidRPr="00FB7BC9" w:rsidRDefault="009C2221" w:rsidP="00802A90">
            <w:pPr>
              <w:pStyle w:val="Keypractices"/>
              <w:ind w:left="0"/>
              <w:rPr>
                <w:noProof/>
                <w:color w:val="auto"/>
                <w:szCs w:val="18"/>
              </w:rPr>
            </w:pPr>
            <w:r w:rsidRPr="007C37FB">
              <w:rPr>
                <w:rFonts w:eastAsia="Calibri" w:cs="Calibri"/>
                <w:color w:val="000000" w:themeColor="text1"/>
                <w:sz w:val="16"/>
                <w:szCs w:val="16"/>
              </w:rPr>
              <w:t xml:space="preserve">Graphic Organizer: </w:t>
            </w:r>
            <w:r w:rsidR="00CF4217" w:rsidRPr="007C37FB">
              <w:rPr>
                <w:rFonts w:eastAsia="Calibri" w:cs="Calibri"/>
                <w:color w:val="000000" w:themeColor="text1"/>
                <w:sz w:val="16"/>
                <w:szCs w:val="16"/>
              </w:rPr>
              <w:t xml:space="preserve"> </w:t>
            </w:r>
            <w:hyperlink r:id="rId11" w:anchor="connect27" w:history="1">
              <w:r w:rsidR="00CF4217" w:rsidRPr="00EE6232">
                <w:rPr>
                  <w:rStyle w:val="Hyperlink"/>
                  <w:rFonts w:eastAsia="Calibri" w:cs="Calibri"/>
                  <w:sz w:val="16"/>
                  <w:szCs w:val="16"/>
                </w:rPr>
                <w:t>Connect#27</w:t>
              </w:r>
            </w:hyperlink>
          </w:p>
        </w:tc>
      </w:tr>
      <w:tr w:rsidR="00B91FD1" w14:paraId="0A4D66AF" w14:textId="77777777" w:rsidTr="00341C38">
        <w:trPr>
          <w:trHeight w:val="650"/>
        </w:trPr>
        <w:tc>
          <w:tcPr>
            <w:tcW w:w="2603" w:type="dxa"/>
          </w:tcPr>
          <w:p w14:paraId="09A8AEC4" w14:textId="3ABD33EA" w:rsidR="009C2221" w:rsidRPr="00CF4217" w:rsidRDefault="001C4578" w:rsidP="002D1963">
            <w:pPr>
              <w:rPr>
                <w:noProof/>
                <w:sz w:val="16"/>
                <w:szCs w:val="16"/>
              </w:rPr>
            </w:pPr>
            <w:r w:rsidRPr="001C4578">
              <w:rPr>
                <w:b/>
                <w:noProof/>
                <w:color w:val="2F5496" w:themeColor="accent5" w:themeShade="BF"/>
                <w:sz w:val="16"/>
                <w:szCs w:val="16"/>
              </w:rPr>
              <w:t>Wonder:</w:t>
            </w:r>
            <w:r>
              <w:rPr>
                <w:b/>
                <w:noProof/>
                <w:color w:val="2F5496" w:themeColor="accent5" w:themeShade="BF"/>
                <w:sz w:val="16"/>
                <w:szCs w:val="16"/>
              </w:rPr>
              <w:t xml:space="preserve"> </w:t>
            </w:r>
            <w:r w:rsidR="00C67B8A" w:rsidRPr="002D1963">
              <w:rPr>
                <w:b/>
                <w:noProof/>
                <w:sz w:val="16"/>
                <w:szCs w:val="16"/>
              </w:rPr>
              <w:t>Determines what information is needed to support the investigation and answer the questions</w:t>
            </w:r>
            <w:r w:rsidR="00C67B8A">
              <w:rPr>
                <w:noProof/>
                <w:sz w:val="16"/>
                <w:szCs w:val="16"/>
              </w:rPr>
              <w:t xml:space="preserve"> about</w:t>
            </w:r>
            <w:r w:rsidR="00B91FD1" w:rsidRPr="00B91FD1">
              <w:rPr>
                <w:noProof/>
                <w:sz w:val="16"/>
                <w:szCs w:val="16"/>
              </w:rPr>
              <w:t xml:space="preserve"> the</w:t>
            </w:r>
            <w:r w:rsidR="002D1963">
              <w:rPr>
                <w:noProof/>
                <w:sz w:val="16"/>
                <w:szCs w:val="16"/>
              </w:rPr>
              <w:t xml:space="preserve"> difference betweeen the</w:t>
            </w:r>
            <w:r w:rsidR="00B91FD1" w:rsidRPr="00B91FD1">
              <w:rPr>
                <w:noProof/>
                <w:sz w:val="16"/>
                <w:szCs w:val="16"/>
              </w:rPr>
              <w:t xml:space="preserve"> Tinker Standard and Fraser Standard</w:t>
            </w:r>
            <w:r w:rsidR="00687199">
              <w:rPr>
                <w:noProof/>
                <w:sz w:val="16"/>
                <w:szCs w:val="16"/>
              </w:rPr>
              <w:t>.</w:t>
            </w:r>
            <w:r w:rsidR="00B91FD1" w:rsidRPr="00B91FD1">
              <w:rPr>
                <w:noProof/>
                <w:sz w:val="16"/>
                <w:szCs w:val="16"/>
              </w:rPr>
              <w:t xml:space="preserve"> </w:t>
            </w:r>
          </w:p>
        </w:tc>
        <w:tc>
          <w:tcPr>
            <w:tcW w:w="2875" w:type="dxa"/>
          </w:tcPr>
          <w:p w14:paraId="4D58239E" w14:textId="62913378" w:rsidR="00FD772D" w:rsidRDefault="009C2221" w:rsidP="00FD772D">
            <w:pPr>
              <w:pStyle w:val="Keypractices"/>
              <w:ind w:left="0"/>
              <w:rPr>
                <w:b w:val="0"/>
                <w:noProof/>
                <w:color w:val="auto"/>
                <w:sz w:val="16"/>
                <w:szCs w:val="16"/>
              </w:rPr>
            </w:pPr>
            <w:r w:rsidRPr="007C37FB">
              <w:rPr>
                <w:noProof/>
                <w:color w:val="2F5496" w:themeColor="accent5" w:themeShade="BF"/>
                <w:sz w:val="16"/>
                <w:szCs w:val="16"/>
              </w:rPr>
              <w:t>Wonder:</w:t>
            </w:r>
            <w:r w:rsidRPr="007C37FB">
              <w:rPr>
                <w:noProof/>
                <w:sz w:val="16"/>
                <w:szCs w:val="16"/>
              </w:rPr>
              <w:t xml:space="preserve"> </w:t>
            </w:r>
            <w:r w:rsidR="00FD772D" w:rsidRPr="00FD772D">
              <w:rPr>
                <w:noProof/>
                <w:color w:val="auto"/>
                <w:sz w:val="16"/>
                <w:szCs w:val="16"/>
              </w:rPr>
              <w:t>Analyzes and evaluates what is known to fo</w:t>
            </w:r>
            <w:r w:rsidRPr="00FD772D">
              <w:rPr>
                <w:noProof/>
                <w:color w:val="auto"/>
                <w:sz w:val="16"/>
                <w:szCs w:val="16"/>
              </w:rPr>
              <w:t>rm tentative thesis or hypothesis</w:t>
            </w:r>
            <w:r w:rsidR="00B91FD1">
              <w:rPr>
                <w:b w:val="0"/>
                <w:noProof/>
                <w:color w:val="auto"/>
                <w:sz w:val="16"/>
                <w:szCs w:val="16"/>
              </w:rPr>
              <w:t xml:space="preserve"> about </w:t>
            </w:r>
            <w:r w:rsidR="002E4C23">
              <w:rPr>
                <w:b w:val="0"/>
                <w:noProof/>
                <w:color w:val="auto"/>
                <w:sz w:val="16"/>
                <w:szCs w:val="16"/>
              </w:rPr>
              <w:t xml:space="preserve">how </w:t>
            </w:r>
            <w:r w:rsidR="00B1290E">
              <w:rPr>
                <w:b w:val="0"/>
                <w:noProof/>
                <w:color w:val="auto"/>
                <w:sz w:val="16"/>
                <w:szCs w:val="16"/>
              </w:rPr>
              <w:t>the no prior restraint</w:t>
            </w:r>
            <w:r w:rsidR="00B91FD1">
              <w:rPr>
                <w:b w:val="0"/>
                <w:noProof/>
                <w:color w:val="auto"/>
                <w:sz w:val="16"/>
                <w:szCs w:val="16"/>
              </w:rPr>
              <w:t xml:space="preserve"> rule</w:t>
            </w:r>
            <w:r w:rsidR="002E4C23">
              <w:rPr>
                <w:b w:val="0"/>
                <w:noProof/>
                <w:color w:val="auto"/>
                <w:sz w:val="16"/>
                <w:szCs w:val="16"/>
              </w:rPr>
              <w:t xml:space="preserve"> applies to the Hazelwood and Layshock cases</w:t>
            </w:r>
            <w:r w:rsidR="00FD772D">
              <w:rPr>
                <w:b w:val="0"/>
                <w:noProof/>
                <w:color w:val="auto"/>
                <w:sz w:val="16"/>
                <w:szCs w:val="16"/>
              </w:rPr>
              <w:t>.</w:t>
            </w:r>
          </w:p>
          <w:p w14:paraId="27455ABD" w14:textId="6823263A" w:rsidR="009C2221" w:rsidRPr="00FB7BC9" w:rsidRDefault="009C2221" w:rsidP="00FD772D">
            <w:pPr>
              <w:pStyle w:val="Keypractices"/>
              <w:ind w:left="0"/>
              <w:rPr>
                <w:b w:val="0"/>
                <w:szCs w:val="18"/>
              </w:rPr>
            </w:pPr>
            <w:r w:rsidRPr="00CD5B17">
              <w:rPr>
                <w:noProof/>
                <w:color w:val="auto"/>
                <w:sz w:val="16"/>
                <w:szCs w:val="16"/>
              </w:rPr>
              <w:t>Graphic Organizer:</w:t>
            </w:r>
            <w:r w:rsidRPr="00CD5B17">
              <w:rPr>
                <w:noProof/>
                <w:sz w:val="16"/>
                <w:szCs w:val="16"/>
              </w:rPr>
              <w:t xml:space="preserve"> </w:t>
            </w:r>
            <w:hyperlink r:id="rId12" w:anchor="wonder12" w:history="1">
              <w:r w:rsidR="00CF4217" w:rsidRPr="0011735C">
                <w:rPr>
                  <w:rStyle w:val="Hyperlink"/>
                  <w:noProof/>
                  <w:sz w:val="16"/>
                  <w:szCs w:val="16"/>
                </w:rPr>
                <w:t>Wonder#12</w:t>
              </w:r>
            </w:hyperlink>
          </w:p>
        </w:tc>
        <w:tc>
          <w:tcPr>
            <w:tcW w:w="2704" w:type="dxa"/>
          </w:tcPr>
          <w:p w14:paraId="41E3D508" w14:textId="1F86BA26" w:rsidR="00CB4D68" w:rsidRDefault="009C2221" w:rsidP="00925B67">
            <w:pPr>
              <w:pStyle w:val="Keypractices"/>
              <w:ind w:left="0"/>
              <w:rPr>
                <w:b w:val="0"/>
                <w:noProof/>
                <w:color w:val="auto"/>
                <w:sz w:val="16"/>
                <w:szCs w:val="16"/>
              </w:rPr>
            </w:pPr>
            <w:r w:rsidRPr="007C37FB">
              <w:rPr>
                <w:noProof/>
                <w:color w:val="2F5496" w:themeColor="accent5" w:themeShade="BF"/>
                <w:sz w:val="16"/>
                <w:szCs w:val="16"/>
              </w:rPr>
              <w:t xml:space="preserve">Wonder: </w:t>
            </w:r>
            <w:r w:rsidRPr="00802A90">
              <w:rPr>
                <w:noProof/>
                <w:color w:val="auto"/>
                <w:sz w:val="16"/>
                <w:szCs w:val="16"/>
              </w:rPr>
              <w:t>Refines questions to provide a fram</w:t>
            </w:r>
            <w:r w:rsidR="00424AF4" w:rsidRPr="00802A90">
              <w:rPr>
                <w:noProof/>
                <w:color w:val="auto"/>
                <w:sz w:val="16"/>
                <w:szCs w:val="16"/>
              </w:rPr>
              <w:t>ework for the inquiry</w:t>
            </w:r>
            <w:r w:rsidR="00B91FD1">
              <w:rPr>
                <w:b w:val="0"/>
                <w:noProof/>
                <w:color w:val="auto"/>
                <w:sz w:val="16"/>
                <w:szCs w:val="16"/>
              </w:rPr>
              <w:t xml:space="preserve"> about how the Supreme Court determines the limits of students’ rights</w:t>
            </w:r>
            <w:r w:rsidRPr="007C37FB">
              <w:rPr>
                <w:b w:val="0"/>
                <w:noProof/>
                <w:color w:val="auto"/>
                <w:sz w:val="16"/>
                <w:szCs w:val="16"/>
              </w:rPr>
              <w:t xml:space="preserve">. </w:t>
            </w:r>
          </w:p>
          <w:p w14:paraId="41FEC324" w14:textId="325D5FEC" w:rsidR="009C2221" w:rsidRPr="00B91FD1" w:rsidRDefault="009C2221" w:rsidP="00CB4D68">
            <w:pPr>
              <w:pStyle w:val="Keypractices"/>
              <w:ind w:left="0"/>
              <w:rPr>
                <w:b w:val="0"/>
                <w:noProof/>
                <w:color w:val="auto"/>
                <w:sz w:val="16"/>
                <w:szCs w:val="16"/>
              </w:rPr>
            </w:pPr>
            <w:r w:rsidRPr="007C37FB">
              <w:rPr>
                <w:noProof/>
                <w:color w:val="auto"/>
                <w:sz w:val="16"/>
                <w:szCs w:val="16"/>
              </w:rPr>
              <w:t>Graphic Organizer:</w:t>
            </w:r>
            <w:r w:rsidR="00CB4D68" w:rsidRPr="00B91FD1">
              <w:rPr>
                <w:b w:val="0"/>
                <w:noProof/>
                <w:color w:val="auto"/>
                <w:sz w:val="16"/>
                <w:szCs w:val="16"/>
              </w:rPr>
              <w:t xml:space="preserve"> </w:t>
            </w:r>
            <w:hyperlink r:id="rId13" w:anchor="wonder19" w:history="1">
              <w:r w:rsidR="00CF4217" w:rsidRPr="00EE6232">
                <w:rPr>
                  <w:rStyle w:val="Hyperlink"/>
                  <w:sz w:val="16"/>
                  <w:szCs w:val="16"/>
                </w:rPr>
                <w:t>Wonder#19</w:t>
              </w:r>
            </w:hyperlink>
            <w:r w:rsidR="00CF4217">
              <w:rPr>
                <w:sz w:val="16"/>
                <w:szCs w:val="16"/>
              </w:rPr>
              <w:t xml:space="preserve"> and </w:t>
            </w:r>
            <w:hyperlink r:id="rId14" w:anchor="wonder20" w:history="1">
              <w:r w:rsidR="00CF4217" w:rsidRPr="00EE6232">
                <w:rPr>
                  <w:rStyle w:val="Hyperlink"/>
                  <w:sz w:val="16"/>
                  <w:szCs w:val="16"/>
                </w:rPr>
                <w:t>Wonder#20</w:t>
              </w:r>
            </w:hyperlink>
          </w:p>
        </w:tc>
        <w:tc>
          <w:tcPr>
            <w:tcW w:w="2889" w:type="dxa"/>
            <w:gridSpan w:val="2"/>
          </w:tcPr>
          <w:p w14:paraId="0871495A" w14:textId="695B3F42" w:rsidR="00B1290E" w:rsidRDefault="009C2221" w:rsidP="00925B67">
            <w:pPr>
              <w:pStyle w:val="Keypractices"/>
              <w:ind w:left="0"/>
              <w:rPr>
                <w:rFonts w:eastAsia="Calibri" w:cs="Calibri"/>
                <w:b w:val="0"/>
                <w:color w:val="000000" w:themeColor="text1"/>
                <w:sz w:val="16"/>
                <w:szCs w:val="16"/>
              </w:rPr>
            </w:pPr>
            <w:r w:rsidRPr="007C37FB">
              <w:rPr>
                <w:noProof/>
                <w:color w:val="2F5496" w:themeColor="accent5" w:themeShade="BF"/>
                <w:sz w:val="16"/>
                <w:szCs w:val="16"/>
              </w:rPr>
              <w:t xml:space="preserve">Wonder: </w:t>
            </w:r>
            <w:r w:rsidRPr="00B1290E">
              <w:rPr>
                <w:rFonts w:eastAsia="Calibri" w:cs="Calibri"/>
                <w:color w:val="000000" w:themeColor="text1"/>
                <w:sz w:val="16"/>
                <w:szCs w:val="16"/>
              </w:rPr>
              <w:t>Plans inquiry to systema</w:t>
            </w:r>
            <w:r w:rsidR="00B831F6" w:rsidRPr="00B1290E">
              <w:rPr>
                <w:rFonts w:eastAsia="Calibri" w:cs="Calibri"/>
                <w:color w:val="000000" w:themeColor="text1"/>
                <w:sz w:val="16"/>
                <w:szCs w:val="16"/>
              </w:rPr>
              <w:t>tically test hypothesis</w:t>
            </w:r>
            <w:r w:rsidR="00B91FD1">
              <w:rPr>
                <w:rFonts w:eastAsia="Calibri" w:cs="Calibri"/>
                <w:b w:val="0"/>
                <w:color w:val="000000" w:themeColor="text1"/>
                <w:sz w:val="16"/>
                <w:szCs w:val="16"/>
              </w:rPr>
              <w:t xml:space="preserve"> about whet</w:t>
            </w:r>
            <w:r w:rsidR="00B1290E">
              <w:rPr>
                <w:rFonts w:eastAsia="Calibri" w:cs="Calibri"/>
                <w:b w:val="0"/>
                <w:color w:val="000000" w:themeColor="text1"/>
                <w:sz w:val="16"/>
                <w:szCs w:val="16"/>
              </w:rPr>
              <w:t>her or not school officials can</w:t>
            </w:r>
            <w:r w:rsidR="00B831F6">
              <w:rPr>
                <w:rFonts w:eastAsia="Calibri" w:cs="Calibri"/>
                <w:b w:val="0"/>
                <w:color w:val="000000" w:themeColor="text1"/>
                <w:sz w:val="16"/>
                <w:szCs w:val="16"/>
              </w:rPr>
              <w:t xml:space="preserve"> ex</w:t>
            </w:r>
            <w:r w:rsidR="00B91FD1">
              <w:rPr>
                <w:rFonts w:eastAsia="Calibri" w:cs="Calibri"/>
                <w:b w:val="0"/>
                <w:color w:val="000000" w:themeColor="text1"/>
                <w:sz w:val="16"/>
                <w:szCs w:val="16"/>
              </w:rPr>
              <w:t>ert control over students’ use of social media</w:t>
            </w:r>
            <w:r w:rsidRPr="007C37FB">
              <w:rPr>
                <w:rFonts w:eastAsia="Calibri" w:cs="Calibri"/>
                <w:b w:val="0"/>
                <w:color w:val="000000" w:themeColor="text1"/>
                <w:sz w:val="16"/>
                <w:szCs w:val="16"/>
              </w:rPr>
              <w:t xml:space="preserve">. </w:t>
            </w:r>
          </w:p>
          <w:p w14:paraId="659117DD" w14:textId="02C399AF" w:rsidR="009C2221" w:rsidRPr="00FB7BC9" w:rsidRDefault="009C2221" w:rsidP="00B1290E">
            <w:pPr>
              <w:pStyle w:val="Keypractices"/>
              <w:ind w:left="0"/>
              <w:rPr>
                <w:szCs w:val="18"/>
              </w:rPr>
            </w:pPr>
            <w:r w:rsidRPr="0076083E">
              <w:rPr>
                <w:rFonts w:eastAsia="Calibri" w:cs="Calibri"/>
                <w:color w:val="000000" w:themeColor="text1"/>
                <w:sz w:val="16"/>
                <w:szCs w:val="16"/>
              </w:rPr>
              <w:t xml:space="preserve">Graphic Organizer: </w:t>
            </w:r>
            <w:hyperlink r:id="rId15" w:anchor="wonder21" w:history="1">
              <w:r w:rsidR="00CF4217" w:rsidRPr="00EE6232">
                <w:rPr>
                  <w:rStyle w:val="Hyperlink"/>
                  <w:rFonts w:eastAsia="Calibri" w:cs="Calibri"/>
                  <w:sz w:val="16"/>
                  <w:szCs w:val="16"/>
                </w:rPr>
                <w:t>Wonder#21</w:t>
              </w:r>
            </w:hyperlink>
            <w:r w:rsidR="00CF4217">
              <w:rPr>
                <w:rFonts w:eastAsia="Calibri" w:cs="Calibri"/>
                <w:color w:val="000000" w:themeColor="text1"/>
                <w:sz w:val="16"/>
                <w:szCs w:val="16"/>
              </w:rPr>
              <w:t xml:space="preserve"> and </w:t>
            </w:r>
            <w:hyperlink r:id="rId16" w:anchor="wonder22" w:history="1">
              <w:r w:rsidR="00CF4217" w:rsidRPr="00EE6232">
                <w:rPr>
                  <w:rStyle w:val="Hyperlink"/>
                  <w:rFonts w:eastAsia="Calibri" w:cs="Calibri"/>
                  <w:sz w:val="16"/>
                  <w:szCs w:val="16"/>
                </w:rPr>
                <w:t>Wonder#22</w:t>
              </w:r>
            </w:hyperlink>
          </w:p>
        </w:tc>
      </w:tr>
      <w:tr w:rsidR="00B91FD1" w14:paraId="2CB20EAF" w14:textId="77777777" w:rsidTr="00341C38">
        <w:trPr>
          <w:trHeight w:val="850"/>
        </w:trPr>
        <w:tc>
          <w:tcPr>
            <w:tcW w:w="2603" w:type="dxa"/>
          </w:tcPr>
          <w:p w14:paraId="343B2856" w14:textId="1DD940DF" w:rsidR="002D1963" w:rsidRPr="002D1963" w:rsidRDefault="009C2221" w:rsidP="009F74BC">
            <w:pPr>
              <w:rPr>
                <w:noProof/>
                <w:sz w:val="16"/>
                <w:szCs w:val="16"/>
              </w:rPr>
            </w:pPr>
            <w:r w:rsidRPr="007C37FB">
              <w:rPr>
                <w:rFonts w:ascii="Calibri" w:hAnsi="Calibri"/>
                <w:b/>
                <w:noProof/>
                <w:color w:val="2F5496" w:themeColor="accent5" w:themeShade="BF"/>
                <w:sz w:val="16"/>
                <w:szCs w:val="16"/>
              </w:rPr>
              <w:t xml:space="preserve">Investigate: </w:t>
            </w:r>
            <w:r w:rsidR="009F74BC" w:rsidRPr="002D1963">
              <w:rPr>
                <w:b/>
                <w:noProof/>
                <w:sz w:val="16"/>
                <w:szCs w:val="16"/>
              </w:rPr>
              <w:t>Summarizes</w:t>
            </w:r>
            <w:r w:rsidR="00B91FD1" w:rsidRPr="002D1963">
              <w:rPr>
                <w:b/>
                <w:noProof/>
                <w:sz w:val="16"/>
                <w:szCs w:val="16"/>
              </w:rPr>
              <w:t xml:space="preserve"> </w:t>
            </w:r>
            <w:r w:rsidR="009F74BC" w:rsidRPr="002D1963">
              <w:rPr>
                <w:b/>
                <w:noProof/>
                <w:sz w:val="16"/>
                <w:szCs w:val="16"/>
              </w:rPr>
              <w:t>information that answers research questions</w:t>
            </w:r>
            <w:r w:rsidR="009F74BC">
              <w:rPr>
                <w:noProof/>
                <w:sz w:val="16"/>
                <w:szCs w:val="16"/>
              </w:rPr>
              <w:t xml:space="preserve"> </w:t>
            </w:r>
            <w:r w:rsidR="00B91FD1" w:rsidRPr="00B91FD1">
              <w:rPr>
                <w:noProof/>
                <w:sz w:val="16"/>
                <w:szCs w:val="16"/>
              </w:rPr>
              <w:t>about the difference between the Tinker Standard and Fraser Standard</w:t>
            </w:r>
            <w:r w:rsidR="002D1963">
              <w:rPr>
                <w:noProof/>
                <w:sz w:val="16"/>
                <w:szCs w:val="16"/>
              </w:rPr>
              <w:t xml:space="preserve"> while reading the First Amendment and the case briefs for </w:t>
            </w:r>
            <w:r w:rsidR="002D1963">
              <w:rPr>
                <w:i/>
                <w:noProof/>
                <w:sz w:val="16"/>
                <w:szCs w:val="16"/>
              </w:rPr>
              <w:t xml:space="preserve">Tinker v. Des Moines School District </w:t>
            </w:r>
            <w:r w:rsidR="002D1963">
              <w:rPr>
                <w:noProof/>
                <w:sz w:val="16"/>
                <w:szCs w:val="16"/>
              </w:rPr>
              <w:t xml:space="preserve">and </w:t>
            </w:r>
            <w:r w:rsidR="002D1963">
              <w:rPr>
                <w:i/>
                <w:noProof/>
                <w:sz w:val="16"/>
                <w:szCs w:val="16"/>
              </w:rPr>
              <w:t>Bethel School District v. Fraser</w:t>
            </w:r>
            <w:r w:rsidR="002D1963">
              <w:rPr>
                <w:noProof/>
                <w:sz w:val="16"/>
                <w:szCs w:val="16"/>
              </w:rPr>
              <w:t>.</w:t>
            </w:r>
          </w:p>
          <w:p w14:paraId="5669028B" w14:textId="0E4A3FFE" w:rsidR="009C2221" w:rsidRPr="00FB7BC9" w:rsidRDefault="009C2221" w:rsidP="002D1963">
            <w:pPr>
              <w:rPr>
                <w:rFonts w:ascii="Calibri" w:hAnsi="Calibri"/>
                <w:b/>
                <w:sz w:val="18"/>
                <w:szCs w:val="18"/>
              </w:rPr>
            </w:pPr>
            <w:r w:rsidRPr="007C37FB">
              <w:rPr>
                <w:b/>
                <w:noProof/>
                <w:sz w:val="16"/>
                <w:szCs w:val="16"/>
              </w:rPr>
              <w:t xml:space="preserve">Graphic Organizer: </w:t>
            </w:r>
            <w:hyperlink r:id="rId17" w:anchor="investigate37" w:history="1">
              <w:r w:rsidR="00ED2922" w:rsidRPr="00C2217B">
                <w:rPr>
                  <w:rStyle w:val="Hyperlink"/>
                  <w:b/>
                  <w:noProof/>
                  <w:sz w:val="16"/>
                  <w:szCs w:val="16"/>
                </w:rPr>
                <w:t>Investigate#37</w:t>
              </w:r>
            </w:hyperlink>
          </w:p>
        </w:tc>
        <w:tc>
          <w:tcPr>
            <w:tcW w:w="2875" w:type="dxa"/>
          </w:tcPr>
          <w:p w14:paraId="4FCDD509" w14:textId="1EE59249" w:rsidR="00FD772D" w:rsidRDefault="009C2221" w:rsidP="009C2221">
            <w:pPr>
              <w:rPr>
                <w:noProof/>
                <w:sz w:val="16"/>
                <w:szCs w:val="16"/>
              </w:rPr>
            </w:pPr>
            <w:r w:rsidRPr="007C37FB">
              <w:rPr>
                <w:rFonts w:ascii="Calibri" w:hAnsi="Calibri"/>
                <w:b/>
                <w:noProof/>
                <w:color w:val="2F5496" w:themeColor="accent5" w:themeShade="BF"/>
                <w:sz w:val="16"/>
                <w:szCs w:val="16"/>
              </w:rPr>
              <w:t>Investigate:</w:t>
            </w:r>
            <w:r w:rsidRPr="007C37FB">
              <w:rPr>
                <w:noProof/>
                <w:sz w:val="16"/>
                <w:szCs w:val="16"/>
              </w:rPr>
              <w:t xml:space="preserve"> </w:t>
            </w:r>
            <w:r w:rsidRPr="00FD772D">
              <w:rPr>
                <w:b/>
                <w:noProof/>
                <w:sz w:val="16"/>
                <w:szCs w:val="16"/>
              </w:rPr>
              <w:t>Uses both facts and opinions responsibly by identifying and verifying them</w:t>
            </w:r>
            <w:r w:rsidR="00FD772D">
              <w:rPr>
                <w:noProof/>
                <w:sz w:val="16"/>
                <w:szCs w:val="16"/>
              </w:rPr>
              <w:t xml:space="preserve"> while reading a definition of the term “prior restraint” and the case briefs for </w:t>
            </w:r>
            <w:r w:rsidR="00FD772D">
              <w:rPr>
                <w:i/>
                <w:noProof/>
                <w:sz w:val="16"/>
                <w:szCs w:val="16"/>
              </w:rPr>
              <w:t>Hazelwood v. Kuhlmeier</w:t>
            </w:r>
            <w:r w:rsidR="00FD772D">
              <w:rPr>
                <w:noProof/>
                <w:sz w:val="16"/>
                <w:szCs w:val="16"/>
              </w:rPr>
              <w:t xml:space="preserve"> and </w:t>
            </w:r>
            <w:r w:rsidR="00FD772D">
              <w:rPr>
                <w:i/>
                <w:noProof/>
                <w:sz w:val="16"/>
                <w:szCs w:val="16"/>
              </w:rPr>
              <w:t>Layshock v. Hermitage School District</w:t>
            </w:r>
            <w:r w:rsidR="00FD772D">
              <w:rPr>
                <w:noProof/>
                <w:sz w:val="16"/>
                <w:szCs w:val="16"/>
              </w:rPr>
              <w:t>.</w:t>
            </w:r>
            <w:r w:rsidRPr="007C37FB">
              <w:rPr>
                <w:noProof/>
                <w:sz w:val="16"/>
                <w:szCs w:val="16"/>
              </w:rPr>
              <w:t xml:space="preserve"> </w:t>
            </w:r>
          </w:p>
          <w:p w14:paraId="15936677" w14:textId="65BBE482" w:rsidR="009C2221" w:rsidRPr="00FB7BC9" w:rsidRDefault="009C2221" w:rsidP="00FD772D">
            <w:pPr>
              <w:rPr>
                <w:rFonts w:ascii="Calibri" w:hAnsi="Calibri"/>
                <w:b/>
                <w:sz w:val="18"/>
                <w:szCs w:val="18"/>
              </w:rPr>
            </w:pPr>
            <w:r w:rsidRPr="0076083E">
              <w:rPr>
                <w:b/>
                <w:noProof/>
                <w:sz w:val="16"/>
                <w:szCs w:val="16"/>
              </w:rPr>
              <w:t>Graphic Organizer:</w:t>
            </w:r>
            <w:r w:rsidRPr="00ED2922">
              <w:rPr>
                <w:b/>
                <w:noProof/>
                <w:sz w:val="16"/>
                <w:szCs w:val="16"/>
              </w:rPr>
              <w:t xml:space="preserve"> </w:t>
            </w:r>
            <w:hyperlink r:id="rId18" w:anchor="investigate71" w:history="1">
              <w:r w:rsidR="00144932" w:rsidRPr="00ED2922">
                <w:rPr>
                  <w:rStyle w:val="Hyperlink"/>
                  <w:b/>
                  <w:noProof/>
                  <w:sz w:val="16"/>
                  <w:szCs w:val="16"/>
                </w:rPr>
                <w:t>Investigate#71</w:t>
              </w:r>
            </w:hyperlink>
          </w:p>
        </w:tc>
        <w:tc>
          <w:tcPr>
            <w:tcW w:w="2704" w:type="dxa"/>
          </w:tcPr>
          <w:p w14:paraId="52CEA025" w14:textId="4D48F4A8" w:rsidR="009C2221" w:rsidRPr="00802A90" w:rsidRDefault="009C2221" w:rsidP="00925B67">
            <w:pPr>
              <w:pStyle w:val="Keypractices"/>
              <w:ind w:left="0"/>
              <w:rPr>
                <w:b w:val="0"/>
                <w:noProof/>
                <w:color w:val="auto"/>
                <w:sz w:val="16"/>
                <w:szCs w:val="16"/>
              </w:rPr>
            </w:pPr>
            <w:r w:rsidRPr="007C37FB">
              <w:rPr>
                <w:noProof/>
                <w:color w:val="2F5496" w:themeColor="accent5" w:themeShade="BF"/>
                <w:sz w:val="16"/>
                <w:szCs w:val="16"/>
              </w:rPr>
              <w:t>Investigate:</w:t>
            </w:r>
            <w:r w:rsidRPr="007C37FB">
              <w:rPr>
                <w:noProof/>
                <w:sz w:val="16"/>
                <w:szCs w:val="16"/>
              </w:rPr>
              <w:t xml:space="preserve"> </w:t>
            </w:r>
            <w:r w:rsidRPr="00802A90">
              <w:rPr>
                <w:noProof/>
                <w:color w:val="auto"/>
                <w:sz w:val="16"/>
                <w:szCs w:val="16"/>
              </w:rPr>
              <w:t>Recognizes the effect of different perspectives and points of view on information</w:t>
            </w:r>
            <w:r w:rsidR="00B91FD1">
              <w:rPr>
                <w:b w:val="0"/>
                <w:noProof/>
                <w:color w:val="auto"/>
                <w:sz w:val="16"/>
                <w:szCs w:val="16"/>
              </w:rPr>
              <w:t xml:space="preserve"> </w:t>
            </w:r>
            <w:r w:rsidR="00802A90">
              <w:rPr>
                <w:b w:val="0"/>
                <w:noProof/>
                <w:color w:val="auto"/>
                <w:sz w:val="16"/>
                <w:szCs w:val="16"/>
              </w:rPr>
              <w:t xml:space="preserve">while reading the case brief for </w:t>
            </w:r>
            <w:r w:rsidR="00802A90">
              <w:rPr>
                <w:b w:val="0"/>
                <w:i/>
                <w:noProof/>
                <w:color w:val="auto"/>
                <w:sz w:val="16"/>
                <w:szCs w:val="16"/>
              </w:rPr>
              <w:t xml:space="preserve">Morse v. Frederick </w:t>
            </w:r>
            <w:r w:rsidR="00802A90">
              <w:rPr>
                <w:b w:val="0"/>
                <w:noProof/>
                <w:color w:val="auto"/>
                <w:sz w:val="16"/>
                <w:szCs w:val="16"/>
              </w:rPr>
              <w:t>and Justice Clarence Thomas’s concurring opinion as well as additional models of Supreme Court concurring and dissenting opinions.</w:t>
            </w:r>
          </w:p>
          <w:p w14:paraId="5BE29F21" w14:textId="2E588AAE" w:rsidR="009C2221" w:rsidRPr="00FB7BC9" w:rsidRDefault="009C2221" w:rsidP="00802A90">
            <w:pPr>
              <w:rPr>
                <w:rFonts w:ascii="Calibri" w:hAnsi="Calibri"/>
                <w:b/>
                <w:sz w:val="18"/>
                <w:szCs w:val="18"/>
              </w:rPr>
            </w:pPr>
            <w:r w:rsidRPr="007C37FB">
              <w:rPr>
                <w:b/>
                <w:noProof/>
                <w:sz w:val="16"/>
                <w:szCs w:val="16"/>
              </w:rPr>
              <w:t>Graphic Organizer</w:t>
            </w:r>
            <w:r w:rsidRPr="007C37FB">
              <w:rPr>
                <w:noProof/>
                <w:sz w:val="16"/>
                <w:szCs w:val="16"/>
              </w:rPr>
              <w:t xml:space="preserve">: </w:t>
            </w:r>
            <w:hyperlink r:id="rId19" w:anchor="investigate76" w:history="1">
              <w:r w:rsidR="00144932" w:rsidRPr="00F12395">
                <w:rPr>
                  <w:rStyle w:val="Hyperlink"/>
                  <w:b/>
                  <w:noProof/>
                  <w:sz w:val="16"/>
                  <w:szCs w:val="16"/>
                </w:rPr>
                <w:t>Investigate#76</w:t>
              </w:r>
            </w:hyperlink>
          </w:p>
        </w:tc>
        <w:tc>
          <w:tcPr>
            <w:tcW w:w="2889" w:type="dxa"/>
            <w:gridSpan w:val="2"/>
          </w:tcPr>
          <w:p w14:paraId="398642D1" w14:textId="33426515" w:rsidR="00B1290E" w:rsidRDefault="009C2221" w:rsidP="009C2221">
            <w:pPr>
              <w:rPr>
                <w:rFonts w:ascii="Calibri" w:eastAsia="Calibri" w:hAnsi="Calibri" w:cs="Calibri"/>
                <w:color w:val="000000" w:themeColor="text1"/>
                <w:sz w:val="16"/>
                <w:szCs w:val="16"/>
              </w:rPr>
            </w:pPr>
            <w:r w:rsidRPr="007C37FB">
              <w:rPr>
                <w:rFonts w:ascii="Calibri" w:hAnsi="Calibri"/>
                <w:b/>
                <w:noProof/>
                <w:color w:val="2F5496" w:themeColor="accent5" w:themeShade="BF"/>
                <w:sz w:val="16"/>
                <w:szCs w:val="16"/>
              </w:rPr>
              <w:t xml:space="preserve">Investigate: </w:t>
            </w:r>
            <w:r w:rsidRPr="00B1290E">
              <w:rPr>
                <w:rFonts w:ascii="Calibri" w:eastAsia="Calibri" w:hAnsi="Calibri" w:cs="Calibri"/>
                <w:b/>
                <w:color w:val="000000" w:themeColor="text1"/>
                <w:sz w:val="16"/>
                <w:szCs w:val="16"/>
              </w:rPr>
              <w:t>Challenges ideas in text and makes notes of questions to pursue in additional sources</w:t>
            </w:r>
            <w:r w:rsidR="00B91FD1" w:rsidRPr="00B1290E">
              <w:rPr>
                <w:rFonts w:eastAsia="Calibri" w:cs="Calibri"/>
                <w:b/>
                <w:color w:val="000000" w:themeColor="text1"/>
                <w:sz w:val="16"/>
                <w:szCs w:val="16"/>
              </w:rPr>
              <w:t xml:space="preserve"> </w:t>
            </w:r>
            <w:r w:rsidR="00B1290E">
              <w:rPr>
                <w:rFonts w:eastAsia="Calibri" w:cs="Calibri"/>
                <w:color w:val="000000" w:themeColor="text1"/>
                <w:sz w:val="16"/>
                <w:szCs w:val="16"/>
              </w:rPr>
              <w:t>while reading about four lower-court cases dealing with the issue of school control over students’ use of social media.</w:t>
            </w:r>
          </w:p>
          <w:p w14:paraId="4E7C3A20" w14:textId="17DC9BF1" w:rsidR="009C2221" w:rsidRDefault="009C2221" w:rsidP="00B1290E">
            <w:pPr>
              <w:rPr>
                <w:rFonts w:ascii="Calibri" w:eastAsia="Calibri" w:hAnsi="Calibri" w:cs="Calibri"/>
                <w:b/>
                <w:color w:val="000000" w:themeColor="text1"/>
                <w:sz w:val="16"/>
                <w:szCs w:val="16"/>
              </w:rPr>
            </w:pPr>
            <w:r w:rsidRPr="007C37FB">
              <w:rPr>
                <w:rFonts w:ascii="Calibri" w:eastAsia="Calibri" w:hAnsi="Calibri" w:cs="Calibri"/>
                <w:b/>
                <w:color w:val="000000" w:themeColor="text1"/>
                <w:sz w:val="16"/>
                <w:szCs w:val="16"/>
              </w:rPr>
              <w:t xml:space="preserve">Graphic Organizer: </w:t>
            </w:r>
            <w:r w:rsidR="00144932" w:rsidRPr="007C37FB">
              <w:rPr>
                <w:rFonts w:ascii="Calibri" w:eastAsia="Calibri" w:hAnsi="Calibri" w:cs="Calibri"/>
                <w:b/>
                <w:color w:val="000000" w:themeColor="text1"/>
                <w:sz w:val="16"/>
                <w:szCs w:val="16"/>
              </w:rPr>
              <w:t xml:space="preserve"> </w:t>
            </w:r>
            <w:hyperlink r:id="rId20" w:anchor="investigate111" w:history="1">
              <w:r w:rsidR="00144932" w:rsidRPr="00F12395">
                <w:rPr>
                  <w:rStyle w:val="Hyperlink"/>
                  <w:rFonts w:ascii="Calibri" w:eastAsia="Calibri" w:hAnsi="Calibri" w:cs="Calibri"/>
                  <w:b/>
                  <w:sz w:val="16"/>
                  <w:szCs w:val="16"/>
                </w:rPr>
                <w:t>Investigate#111</w:t>
              </w:r>
            </w:hyperlink>
            <w:r w:rsidR="00144932">
              <w:rPr>
                <w:rFonts w:ascii="Calibri" w:eastAsia="Calibri" w:hAnsi="Calibri" w:cs="Calibri"/>
                <w:b/>
                <w:color w:val="000000" w:themeColor="text1"/>
                <w:sz w:val="16"/>
                <w:szCs w:val="16"/>
              </w:rPr>
              <w:t xml:space="preserve"> and </w:t>
            </w:r>
            <w:hyperlink r:id="rId21" w:anchor="investigate112" w:history="1">
              <w:r w:rsidR="00144932" w:rsidRPr="00F12395">
                <w:rPr>
                  <w:rStyle w:val="Hyperlink"/>
                  <w:rFonts w:ascii="Calibri" w:eastAsia="Calibri" w:hAnsi="Calibri" w:cs="Calibri"/>
                  <w:b/>
                  <w:sz w:val="16"/>
                  <w:szCs w:val="16"/>
                </w:rPr>
                <w:t>Investigate#112</w:t>
              </w:r>
            </w:hyperlink>
          </w:p>
          <w:p w14:paraId="1FFFA037" w14:textId="2513377C" w:rsidR="00AB6C78" w:rsidRPr="00FB7BC9" w:rsidRDefault="000C35E7" w:rsidP="00B1290E">
            <w:pPr>
              <w:rPr>
                <w:rFonts w:ascii="Calibri" w:hAnsi="Calibri"/>
                <w:b/>
                <w:sz w:val="18"/>
                <w:szCs w:val="18"/>
              </w:rPr>
            </w:pPr>
            <w:hyperlink r:id="rId22" w:history="1">
              <w:r w:rsidR="00AB6C78" w:rsidRPr="00AB6C78">
                <w:rPr>
                  <w:rStyle w:val="Hyperlink"/>
                  <w:rFonts w:ascii="Calibri" w:eastAsia="Calibri" w:hAnsi="Calibri" w:cs="Calibri"/>
                  <w:b/>
                  <w:color w:val="000000" w:themeColor="text1"/>
                  <w:sz w:val="16"/>
                  <w:szCs w:val="16"/>
                </w:rPr>
                <w:t>C3 Resources</w:t>
              </w:r>
            </w:hyperlink>
            <w:r w:rsidR="00AB6C78" w:rsidRPr="00AB6C78">
              <w:rPr>
                <w:rFonts w:ascii="Calibri" w:eastAsia="Calibri" w:hAnsi="Calibri" w:cs="Calibri"/>
                <w:b/>
                <w:color w:val="000000" w:themeColor="text1"/>
                <w:sz w:val="16"/>
                <w:szCs w:val="16"/>
              </w:rPr>
              <w:t xml:space="preserve"> </w:t>
            </w:r>
          </w:p>
        </w:tc>
      </w:tr>
      <w:tr w:rsidR="00B91FD1" w14:paraId="1EC65EC9" w14:textId="77777777" w:rsidTr="00341C38">
        <w:trPr>
          <w:trHeight w:val="659"/>
        </w:trPr>
        <w:tc>
          <w:tcPr>
            <w:tcW w:w="2603" w:type="dxa"/>
          </w:tcPr>
          <w:p w14:paraId="45EA2BF6" w14:textId="67FC6983" w:rsidR="009C2221" w:rsidRPr="00CD5B17" w:rsidRDefault="009C2221" w:rsidP="00925B67">
            <w:pPr>
              <w:pStyle w:val="Keypractices"/>
              <w:ind w:left="0"/>
              <w:rPr>
                <w:noProof/>
                <w:color w:val="auto"/>
                <w:sz w:val="16"/>
                <w:szCs w:val="16"/>
              </w:rPr>
            </w:pPr>
            <w:r w:rsidRPr="007C37FB">
              <w:rPr>
                <w:noProof/>
                <w:color w:val="2F5496" w:themeColor="accent5" w:themeShade="BF"/>
                <w:sz w:val="16"/>
                <w:szCs w:val="16"/>
              </w:rPr>
              <w:t xml:space="preserve">Construct: </w:t>
            </w:r>
            <w:r w:rsidR="009F74BC" w:rsidRPr="00687199">
              <w:rPr>
                <w:b w:val="0"/>
                <w:noProof/>
                <w:color w:val="auto"/>
                <w:sz w:val="16"/>
                <w:szCs w:val="16"/>
              </w:rPr>
              <w:t>Complete</w:t>
            </w:r>
            <w:r w:rsidR="009F74BC">
              <w:rPr>
                <w:b w:val="0"/>
                <w:noProof/>
                <w:color w:val="auto"/>
                <w:sz w:val="16"/>
                <w:szCs w:val="16"/>
              </w:rPr>
              <w:t>s</w:t>
            </w:r>
            <w:r w:rsidR="009F74BC" w:rsidRPr="00687199">
              <w:rPr>
                <w:b w:val="0"/>
                <w:noProof/>
                <w:color w:val="auto"/>
                <w:sz w:val="16"/>
                <w:szCs w:val="16"/>
              </w:rPr>
              <w:t xml:space="preserve"> a T-chart on the differences between the Tinker Standard and Fraser Standard.</w:t>
            </w:r>
          </w:p>
        </w:tc>
        <w:tc>
          <w:tcPr>
            <w:tcW w:w="2875" w:type="dxa"/>
          </w:tcPr>
          <w:p w14:paraId="43A554C8" w14:textId="287DADC6" w:rsidR="009C2221" w:rsidRPr="00FB7BC9" w:rsidRDefault="009C2221" w:rsidP="009C2221">
            <w:pPr>
              <w:rPr>
                <w:rFonts w:ascii="Calibri" w:hAnsi="Calibri"/>
                <w:b/>
                <w:sz w:val="18"/>
                <w:szCs w:val="18"/>
              </w:rPr>
            </w:pPr>
            <w:r w:rsidRPr="00512A1B">
              <w:rPr>
                <w:b/>
                <w:noProof/>
                <w:color w:val="2F5496" w:themeColor="accent5" w:themeShade="BF"/>
                <w:sz w:val="16"/>
                <w:szCs w:val="16"/>
              </w:rPr>
              <w:t xml:space="preserve">Construct: </w:t>
            </w:r>
            <w:r w:rsidR="009F74BC" w:rsidRPr="00687199">
              <w:rPr>
                <w:noProof/>
                <w:sz w:val="16"/>
                <w:szCs w:val="16"/>
              </w:rPr>
              <w:t>Explain</w:t>
            </w:r>
            <w:r w:rsidR="00595075">
              <w:rPr>
                <w:noProof/>
                <w:sz w:val="16"/>
                <w:szCs w:val="16"/>
              </w:rPr>
              <w:t>s</w:t>
            </w:r>
            <w:r w:rsidR="009F74BC" w:rsidRPr="00687199">
              <w:rPr>
                <w:noProof/>
                <w:sz w:val="16"/>
                <w:szCs w:val="16"/>
              </w:rPr>
              <w:t xml:space="preserve"> in a paragraph the ext</w:t>
            </w:r>
            <w:r w:rsidR="00B1290E">
              <w:rPr>
                <w:noProof/>
                <w:sz w:val="16"/>
                <w:szCs w:val="16"/>
              </w:rPr>
              <w:t>ent to which the Constitution’s</w:t>
            </w:r>
            <w:r w:rsidR="009F74BC" w:rsidRPr="00687199">
              <w:rPr>
                <w:noProof/>
                <w:sz w:val="16"/>
                <w:szCs w:val="16"/>
              </w:rPr>
              <w:t xml:space="preserve"> no prior restraint rule applies to the Hazelwood and Layshock cases.</w:t>
            </w:r>
          </w:p>
        </w:tc>
        <w:tc>
          <w:tcPr>
            <w:tcW w:w="2704" w:type="dxa"/>
          </w:tcPr>
          <w:p w14:paraId="36647B1F" w14:textId="041080C0" w:rsidR="00802A90" w:rsidRDefault="009C2221" w:rsidP="009C2221">
            <w:pPr>
              <w:pStyle w:val="Keypractices"/>
              <w:ind w:left="0"/>
              <w:rPr>
                <w:noProof/>
                <w:color w:val="auto"/>
                <w:sz w:val="16"/>
                <w:szCs w:val="16"/>
              </w:rPr>
            </w:pPr>
            <w:r w:rsidRPr="007C37FB">
              <w:rPr>
                <w:noProof/>
                <w:color w:val="2F5496" w:themeColor="accent5" w:themeShade="BF"/>
                <w:sz w:val="16"/>
                <w:szCs w:val="16"/>
              </w:rPr>
              <w:t xml:space="preserve">Construct: </w:t>
            </w:r>
            <w:r w:rsidRPr="00802A90">
              <w:rPr>
                <w:noProof/>
                <w:color w:val="auto"/>
                <w:sz w:val="16"/>
                <w:szCs w:val="16"/>
              </w:rPr>
              <w:t>Draws clear and appropriate conclusions supported by evidence and examples.</w:t>
            </w:r>
            <w:r w:rsidRPr="007C37FB">
              <w:rPr>
                <w:noProof/>
                <w:color w:val="auto"/>
                <w:sz w:val="16"/>
                <w:szCs w:val="16"/>
              </w:rPr>
              <w:t xml:space="preserve"> </w:t>
            </w:r>
          </w:p>
          <w:p w14:paraId="38B26362" w14:textId="158ABEC9" w:rsidR="009C2221" w:rsidRPr="00FB7BC9" w:rsidRDefault="00802A90" w:rsidP="00802A90">
            <w:pPr>
              <w:pStyle w:val="Keypractices"/>
              <w:ind w:left="0"/>
              <w:rPr>
                <w:szCs w:val="18"/>
              </w:rPr>
            </w:pPr>
            <w:r>
              <w:rPr>
                <w:noProof/>
                <w:color w:val="auto"/>
                <w:sz w:val="16"/>
                <w:szCs w:val="16"/>
              </w:rPr>
              <w:t xml:space="preserve">Graphic Organizer: </w:t>
            </w:r>
            <w:hyperlink r:id="rId23" w:anchor="construct40" w:history="1">
              <w:r w:rsidR="00144932" w:rsidRPr="00144932">
                <w:rPr>
                  <w:rStyle w:val="Hyperlink"/>
                  <w:noProof/>
                  <w:sz w:val="16"/>
                  <w:szCs w:val="16"/>
                </w:rPr>
                <w:t>Construct#40</w:t>
              </w:r>
            </w:hyperlink>
            <w:r w:rsidR="00144932" w:rsidRPr="00144932">
              <w:rPr>
                <w:noProof/>
                <w:color w:val="auto"/>
                <w:sz w:val="16"/>
                <w:szCs w:val="16"/>
              </w:rPr>
              <w:t xml:space="preserve"> and </w:t>
            </w:r>
            <w:hyperlink r:id="rId24" w:anchor="construct41" w:history="1">
              <w:r w:rsidR="00144932" w:rsidRPr="00144932">
                <w:rPr>
                  <w:rStyle w:val="Hyperlink"/>
                  <w:noProof/>
                  <w:sz w:val="16"/>
                  <w:szCs w:val="16"/>
                </w:rPr>
                <w:t>Construct#41</w:t>
              </w:r>
            </w:hyperlink>
          </w:p>
        </w:tc>
        <w:tc>
          <w:tcPr>
            <w:tcW w:w="2889" w:type="dxa"/>
            <w:gridSpan w:val="2"/>
          </w:tcPr>
          <w:p w14:paraId="669D4993" w14:textId="5B83FC5D" w:rsidR="00B1290E" w:rsidRDefault="009C2221" w:rsidP="009C2221">
            <w:pPr>
              <w:rPr>
                <w:rFonts w:ascii="Calibri" w:eastAsia="Calibri" w:hAnsi="Calibri" w:cs="Calibri"/>
                <w:color w:val="000000" w:themeColor="text1"/>
                <w:sz w:val="16"/>
                <w:szCs w:val="16"/>
              </w:rPr>
            </w:pPr>
            <w:r w:rsidRPr="00512A1B">
              <w:rPr>
                <w:b/>
                <w:noProof/>
                <w:color w:val="2F5496" w:themeColor="accent5" w:themeShade="BF"/>
                <w:sz w:val="16"/>
                <w:szCs w:val="16"/>
              </w:rPr>
              <w:t xml:space="preserve">Construct: </w:t>
            </w:r>
            <w:r w:rsidRPr="00B1290E">
              <w:rPr>
                <w:rFonts w:ascii="Calibri" w:eastAsia="Calibri" w:hAnsi="Calibri" w:cs="Calibri"/>
                <w:b/>
                <w:color w:val="000000" w:themeColor="text1"/>
                <w:sz w:val="16"/>
                <w:szCs w:val="16"/>
              </w:rPr>
              <w:t>Presents different perspectives with evid</w:t>
            </w:r>
            <w:r w:rsidR="00B1290E" w:rsidRPr="00B1290E">
              <w:rPr>
                <w:rFonts w:ascii="Calibri" w:eastAsia="Calibri" w:hAnsi="Calibri" w:cs="Calibri"/>
                <w:b/>
                <w:color w:val="000000" w:themeColor="text1"/>
                <w:sz w:val="16"/>
                <w:szCs w:val="16"/>
              </w:rPr>
              <w:t>ence for each.</w:t>
            </w:r>
          </w:p>
          <w:p w14:paraId="2E9B8191" w14:textId="56760100" w:rsidR="009C2221" w:rsidRPr="00FB7BC9" w:rsidRDefault="009C2221" w:rsidP="00B1290E">
            <w:pPr>
              <w:rPr>
                <w:rFonts w:ascii="Calibri" w:hAnsi="Calibri"/>
                <w:b/>
                <w:sz w:val="18"/>
                <w:szCs w:val="18"/>
              </w:rPr>
            </w:pPr>
            <w:r w:rsidRPr="007C37FB">
              <w:rPr>
                <w:rFonts w:eastAsia="Calibri" w:cs="Calibri"/>
                <w:b/>
                <w:color w:val="000000" w:themeColor="text1"/>
                <w:sz w:val="16"/>
                <w:szCs w:val="16"/>
              </w:rPr>
              <w:t xml:space="preserve">Graphic Organizer: </w:t>
            </w:r>
            <w:hyperlink r:id="rId25" w:anchor="construct46" w:history="1">
              <w:r w:rsidR="00157C89" w:rsidRPr="00157C89">
                <w:rPr>
                  <w:rStyle w:val="Hyperlink"/>
                  <w:rFonts w:eastAsia="Calibri" w:cs="Calibri"/>
                  <w:b/>
                  <w:sz w:val="16"/>
                  <w:szCs w:val="16"/>
                </w:rPr>
                <w:t>Construct#46</w:t>
              </w:r>
            </w:hyperlink>
          </w:p>
        </w:tc>
      </w:tr>
      <w:tr w:rsidR="00B91FD1" w14:paraId="7FF40EA4" w14:textId="77777777" w:rsidTr="00341C38">
        <w:trPr>
          <w:trHeight w:val="866"/>
        </w:trPr>
        <w:tc>
          <w:tcPr>
            <w:tcW w:w="2603" w:type="dxa"/>
          </w:tcPr>
          <w:p w14:paraId="3B2F06F5" w14:textId="666F694C" w:rsidR="009F74BC" w:rsidRPr="00FB7BC9" w:rsidRDefault="009C2221" w:rsidP="009F74BC">
            <w:pPr>
              <w:pStyle w:val="Keypractices"/>
              <w:ind w:left="0"/>
              <w:rPr>
                <w:b w:val="0"/>
                <w:szCs w:val="18"/>
              </w:rPr>
            </w:pPr>
            <w:r w:rsidRPr="007C37FB">
              <w:rPr>
                <w:noProof/>
                <w:color w:val="2F5496" w:themeColor="accent5" w:themeShade="BF"/>
                <w:sz w:val="16"/>
                <w:szCs w:val="16"/>
              </w:rPr>
              <w:t>Express:</w:t>
            </w:r>
            <w:r w:rsidRPr="007C37FB">
              <w:rPr>
                <w:noProof/>
                <w:sz w:val="16"/>
                <w:szCs w:val="16"/>
              </w:rPr>
              <w:t xml:space="preserve"> </w:t>
            </w:r>
          </w:p>
          <w:p w14:paraId="162AB8DA" w14:textId="0FEA67FD" w:rsidR="009C2221" w:rsidRPr="00FB7BC9" w:rsidRDefault="009C2221" w:rsidP="009C2221">
            <w:pPr>
              <w:rPr>
                <w:rFonts w:ascii="Calibri" w:hAnsi="Calibri"/>
                <w:b/>
                <w:sz w:val="18"/>
                <w:szCs w:val="18"/>
              </w:rPr>
            </w:pPr>
          </w:p>
        </w:tc>
        <w:tc>
          <w:tcPr>
            <w:tcW w:w="2875" w:type="dxa"/>
          </w:tcPr>
          <w:p w14:paraId="0002407E" w14:textId="2CCC89CF" w:rsidR="00595075" w:rsidRPr="00FB7BC9" w:rsidRDefault="009C2221" w:rsidP="00595075">
            <w:pPr>
              <w:pStyle w:val="Keypractices"/>
              <w:ind w:left="0"/>
              <w:rPr>
                <w:b w:val="0"/>
                <w:szCs w:val="18"/>
              </w:rPr>
            </w:pPr>
            <w:r w:rsidRPr="007C37FB">
              <w:rPr>
                <w:noProof/>
                <w:color w:val="2F5496" w:themeColor="accent5" w:themeShade="BF"/>
                <w:sz w:val="16"/>
                <w:szCs w:val="16"/>
              </w:rPr>
              <w:t>Express:</w:t>
            </w:r>
            <w:r w:rsidRPr="007C37FB">
              <w:rPr>
                <w:noProof/>
                <w:sz w:val="16"/>
                <w:szCs w:val="16"/>
              </w:rPr>
              <w:t xml:space="preserve"> </w:t>
            </w:r>
          </w:p>
          <w:p w14:paraId="7170C536" w14:textId="5018A897" w:rsidR="009C2221" w:rsidRPr="00FB7BC9" w:rsidRDefault="009C2221" w:rsidP="009C2221">
            <w:pPr>
              <w:rPr>
                <w:rFonts w:ascii="Calibri" w:hAnsi="Calibri"/>
                <w:b/>
                <w:sz w:val="18"/>
                <w:szCs w:val="18"/>
              </w:rPr>
            </w:pPr>
          </w:p>
        </w:tc>
        <w:tc>
          <w:tcPr>
            <w:tcW w:w="2704" w:type="dxa"/>
          </w:tcPr>
          <w:p w14:paraId="60BFC575" w14:textId="5E222B02" w:rsidR="009C2221" w:rsidRPr="00FB7BC9" w:rsidRDefault="009C2221" w:rsidP="00802A90">
            <w:pPr>
              <w:rPr>
                <w:rFonts w:ascii="Calibri" w:hAnsi="Calibri"/>
                <w:b/>
                <w:sz w:val="18"/>
                <w:szCs w:val="18"/>
              </w:rPr>
            </w:pPr>
            <w:r w:rsidRPr="00595075">
              <w:rPr>
                <w:b/>
                <w:noProof/>
                <w:color w:val="2F5496" w:themeColor="accent5" w:themeShade="BF"/>
                <w:sz w:val="16"/>
                <w:szCs w:val="16"/>
              </w:rPr>
              <w:t>Express:</w:t>
            </w:r>
            <w:r w:rsidRPr="007C37FB">
              <w:rPr>
                <w:noProof/>
                <w:sz w:val="16"/>
                <w:szCs w:val="16"/>
              </w:rPr>
              <w:t xml:space="preserve"> </w:t>
            </w:r>
            <w:r w:rsidR="00595075" w:rsidRPr="00687199">
              <w:rPr>
                <w:noProof/>
                <w:sz w:val="16"/>
                <w:szCs w:val="16"/>
              </w:rPr>
              <w:t>Write</w:t>
            </w:r>
            <w:r w:rsidR="00595075">
              <w:rPr>
                <w:noProof/>
                <w:sz w:val="16"/>
                <w:szCs w:val="16"/>
              </w:rPr>
              <w:t>s</w:t>
            </w:r>
            <w:r w:rsidR="00595075" w:rsidRPr="00687199">
              <w:rPr>
                <w:noProof/>
                <w:sz w:val="16"/>
                <w:szCs w:val="16"/>
              </w:rPr>
              <w:t xml:space="preserve"> a concurring or a dissentin</w:t>
            </w:r>
            <w:r w:rsidR="00802A90">
              <w:rPr>
                <w:noProof/>
                <w:sz w:val="16"/>
                <w:szCs w:val="16"/>
              </w:rPr>
              <w:t>g opinion on</w:t>
            </w:r>
            <w:r w:rsidR="00802A90" w:rsidRPr="00802A90">
              <w:rPr>
                <w:i/>
                <w:noProof/>
                <w:sz w:val="16"/>
                <w:szCs w:val="16"/>
              </w:rPr>
              <w:t xml:space="preserve"> Morse v. Frederick</w:t>
            </w:r>
            <w:r w:rsidR="00802A90">
              <w:rPr>
                <w:noProof/>
                <w:sz w:val="16"/>
                <w:szCs w:val="16"/>
              </w:rPr>
              <w:t>.</w:t>
            </w:r>
          </w:p>
        </w:tc>
        <w:tc>
          <w:tcPr>
            <w:tcW w:w="2889" w:type="dxa"/>
            <w:gridSpan w:val="2"/>
          </w:tcPr>
          <w:p w14:paraId="38070268" w14:textId="73EBA10D" w:rsidR="009C2221" w:rsidRPr="00FB7BC9" w:rsidRDefault="009C2221" w:rsidP="00925B67">
            <w:pPr>
              <w:pStyle w:val="Keypractices"/>
              <w:ind w:left="0"/>
              <w:rPr>
                <w:b w:val="0"/>
                <w:szCs w:val="18"/>
              </w:rPr>
            </w:pPr>
            <w:r w:rsidRPr="007C37FB">
              <w:rPr>
                <w:noProof/>
                <w:color w:val="2F5496" w:themeColor="accent5" w:themeShade="BF"/>
                <w:sz w:val="16"/>
                <w:szCs w:val="16"/>
              </w:rPr>
              <w:t xml:space="preserve">Express: </w:t>
            </w:r>
            <w:r w:rsidR="00595075" w:rsidRPr="00687199">
              <w:rPr>
                <w:b w:val="0"/>
                <w:noProof/>
                <w:color w:val="auto"/>
                <w:sz w:val="16"/>
                <w:szCs w:val="16"/>
              </w:rPr>
              <w:t>Develop</w:t>
            </w:r>
            <w:r w:rsidR="00595075">
              <w:rPr>
                <w:b w:val="0"/>
                <w:noProof/>
                <w:color w:val="auto"/>
                <w:sz w:val="16"/>
                <w:szCs w:val="16"/>
              </w:rPr>
              <w:t>s</w:t>
            </w:r>
            <w:r w:rsidR="00595075" w:rsidRPr="00687199">
              <w:rPr>
                <w:b w:val="0"/>
                <w:noProof/>
                <w:color w:val="auto"/>
                <w:sz w:val="16"/>
                <w:szCs w:val="16"/>
              </w:rPr>
              <w:t xml:space="preserve"> a claim supported by evidence about school control over social media that answers the supporting question.</w:t>
            </w:r>
          </w:p>
        </w:tc>
      </w:tr>
      <w:tr w:rsidR="00B91FD1" w:rsidRPr="004B45A1" w14:paraId="7B1101F1" w14:textId="77777777" w:rsidTr="00341C38">
        <w:trPr>
          <w:trHeight w:val="659"/>
        </w:trPr>
        <w:tc>
          <w:tcPr>
            <w:tcW w:w="2603" w:type="dxa"/>
          </w:tcPr>
          <w:p w14:paraId="50E2B8FD" w14:textId="710D7343" w:rsidR="009C2221" w:rsidRPr="00B91FD1" w:rsidRDefault="009C2221" w:rsidP="00925B67">
            <w:pPr>
              <w:rPr>
                <w:rFonts w:ascii="Calibri" w:hAnsi="Calibri"/>
                <w:b/>
                <w:sz w:val="13"/>
                <w:szCs w:val="13"/>
              </w:rPr>
            </w:pPr>
            <w:r w:rsidRPr="00925B67">
              <w:rPr>
                <w:rFonts w:ascii="Calibri" w:hAnsi="Calibri"/>
                <w:b/>
                <w:noProof/>
                <w:color w:val="2F5496" w:themeColor="accent5" w:themeShade="BF"/>
                <w:sz w:val="16"/>
                <w:szCs w:val="16"/>
              </w:rPr>
              <w:t>Reflect:</w:t>
            </w:r>
            <w:r w:rsidRPr="00B91FD1">
              <w:rPr>
                <w:noProof/>
                <w:sz w:val="13"/>
                <w:szCs w:val="13"/>
              </w:rPr>
              <w:t xml:space="preserve"> </w:t>
            </w:r>
          </w:p>
        </w:tc>
        <w:tc>
          <w:tcPr>
            <w:tcW w:w="2875" w:type="dxa"/>
          </w:tcPr>
          <w:p w14:paraId="24DFB53A" w14:textId="785D4727" w:rsidR="00925B67" w:rsidRPr="00B91FD1" w:rsidRDefault="009C2221" w:rsidP="00925B67">
            <w:pPr>
              <w:pStyle w:val="Keypractices"/>
              <w:ind w:left="0"/>
              <w:rPr>
                <w:b w:val="0"/>
                <w:sz w:val="13"/>
                <w:szCs w:val="13"/>
              </w:rPr>
            </w:pPr>
            <w:r w:rsidRPr="00925B67">
              <w:rPr>
                <w:noProof/>
                <w:color w:val="2F5496" w:themeColor="accent5" w:themeShade="BF"/>
                <w:sz w:val="16"/>
                <w:szCs w:val="16"/>
              </w:rPr>
              <w:t>Reflect:</w:t>
            </w:r>
            <w:r w:rsidRPr="00B91FD1">
              <w:rPr>
                <w:noProof/>
                <w:sz w:val="13"/>
                <w:szCs w:val="13"/>
              </w:rPr>
              <w:t xml:space="preserve"> </w:t>
            </w:r>
          </w:p>
          <w:p w14:paraId="35383A74" w14:textId="483878D1" w:rsidR="009C2221" w:rsidRPr="00B91FD1" w:rsidRDefault="009C2221" w:rsidP="009C2221">
            <w:pPr>
              <w:rPr>
                <w:rFonts w:ascii="Calibri" w:hAnsi="Calibri"/>
                <w:b/>
                <w:sz w:val="13"/>
                <w:szCs w:val="13"/>
              </w:rPr>
            </w:pPr>
          </w:p>
        </w:tc>
        <w:tc>
          <w:tcPr>
            <w:tcW w:w="2704" w:type="dxa"/>
          </w:tcPr>
          <w:p w14:paraId="49273973" w14:textId="00944CC5" w:rsidR="00925B67" w:rsidRPr="00B91FD1" w:rsidRDefault="009C2221" w:rsidP="00925B67">
            <w:pPr>
              <w:pStyle w:val="Keypractices"/>
              <w:ind w:left="0"/>
              <w:rPr>
                <w:b w:val="0"/>
                <w:sz w:val="13"/>
                <w:szCs w:val="13"/>
              </w:rPr>
            </w:pPr>
            <w:r w:rsidRPr="00925B67">
              <w:rPr>
                <w:noProof/>
                <w:color w:val="2F5496" w:themeColor="accent5" w:themeShade="BF"/>
                <w:sz w:val="16"/>
                <w:szCs w:val="16"/>
              </w:rPr>
              <w:t>Reflect:</w:t>
            </w:r>
            <w:r w:rsidRPr="00B91FD1">
              <w:rPr>
                <w:noProof/>
                <w:sz w:val="13"/>
                <w:szCs w:val="13"/>
              </w:rPr>
              <w:t xml:space="preserve"> </w:t>
            </w:r>
          </w:p>
          <w:p w14:paraId="00D3CB4B" w14:textId="293D1492" w:rsidR="009C2221" w:rsidRPr="00B91FD1" w:rsidRDefault="009C2221" w:rsidP="009C2221">
            <w:pPr>
              <w:rPr>
                <w:rFonts w:ascii="Calibri" w:hAnsi="Calibri"/>
                <w:b/>
                <w:sz w:val="13"/>
                <w:szCs w:val="13"/>
              </w:rPr>
            </w:pPr>
          </w:p>
        </w:tc>
        <w:tc>
          <w:tcPr>
            <w:tcW w:w="2889" w:type="dxa"/>
            <w:gridSpan w:val="2"/>
          </w:tcPr>
          <w:p w14:paraId="12735966" w14:textId="77777777" w:rsidR="00B1290E" w:rsidRDefault="009C2221" w:rsidP="00B91FD1">
            <w:pPr>
              <w:pStyle w:val="Keypractices"/>
              <w:ind w:left="0"/>
              <w:rPr>
                <w:rFonts w:eastAsia="Calibri" w:cs="Calibri"/>
                <w:color w:val="000000" w:themeColor="text1"/>
                <w:sz w:val="16"/>
                <w:szCs w:val="16"/>
              </w:rPr>
            </w:pPr>
            <w:r w:rsidRPr="00925B67">
              <w:rPr>
                <w:noProof/>
                <w:color w:val="2F5496" w:themeColor="accent5" w:themeShade="BF"/>
                <w:sz w:val="16"/>
                <w:szCs w:val="16"/>
              </w:rPr>
              <w:t>Reflect:</w:t>
            </w:r>
            <w:r w:rsidRPr="00B91FD1">
              <w:rPr>
                <w:noProof/>
                <w:color w:val="2F5496" w:themeColor="accent5" w:themeShade="BF"/>
                <w:sz w:val="13"/>
                <w:szCs w:val="13"/>
              </w:rPr>
              <w:t xml:space="preserve"> </w:t>
            </w:r>
            <w:r w:rsidRPr="00B1290E">
              <w:rPr>
                <w:rFonts w:eastAsia="Calibri" w:cs="Calibri"/>
                <w:color w:val="000000" w:themeColor="text1"/>
                <w:sz w:val="16"/>
                <w:szCs w:val="16"/>
              </w:rPr>
              <w:t>Records individual experience of the inquiry process</w:t>
            </w:r>
            <w:r w:rsidR="00B91FD1" w:rsidRPr="00B1290E">
              <w:rPr>
                <w:rFonts w:eastAsia="Calibri" w:cs="Calibri"/>
                <w:color w:val="000000" w:themeColor="text1"/>
                <w:sz w:val="16"/>
                <w:szCs w:val="16"/>
              </w:rPr>
              <w:t xml:space="preserve"> </w:t>
            </w:r>
            <w:r w:rsidRPr="00B1290E">
              <w:rPr>
                <w:rFonts w:eastAsia="Calibri" w:cs="Calibri"/>
                <w:color w:val="000000" w:themeColor="text1"/>
                <w:sz w:val="16"/>
                <w:szCs w:val="16"/>
              </w:rPr>
              <w:t>with suggestions for future improvements.</w:t>
            </w:r>
            <w:r w:rsidRPr="00B831F6">
              <w:rPr>
                <w:rFonts w:eastAsia="Calibri" w:cs="Calibri"/>
                <w:color w:val="000000" w:themeColor="text1"/>
                <w:sz w:val="16"/>
                <w:szCs w:val="16"/>
              </w:rPr>
              <w:t xml:space="preserve"> </w:t>
            </w:r>
          </w:p>
          <w:p w14:paraId="582ABFE8" w14:textId="4D088B8F" w:rsidR="009C2221" w:rsidRPr="00B91FD1" w:rsidRDefault="009C2221" w:rsidP="00B1290E">
            <w:pPr>
              <w:pStyle w:val="Keypractices"/>
              <w:ind w:left="0"/>
              <w:rPr>
                <w:noProof/>
                <w:color w:val="auto"/>
                <w:sz w:val="13"/>
                <w:szCs w:val="13"/>
              </w:rPr>
            </w:pPr>
            <w:r w:rsidRPr="00B831F6">
              <w:rPr>
                <w:rFonts w:eastAsia="Calibri" w:cs="Calibri"/>
                <w:color w:val="000000" w:themeColor="text1"/>
                <w:sz w:val="16"/>
                <w:szCs w:val="16"/>
              </w:rPr>
              <w:t xml:space="preserve">Graphic Organizer: </w:t>
            </w:r>
            <w:r w:rsidR="00144932">
              <w:rPr>
                <w:rFonts w:eastAsia="Calibri" w:cs="Calibri"/>
                <w:color w:val="000000" w:themeColor="text1"/>
                <w:sz w:val="16"/>
                <w:szCs w:val="16"/>
              </w:rPr>
              <w:t xml:space="preserve"> </w:t>
            </w:r>
            <w:hyperlink r:id="rId26" w:anchor="reflect23" w:history="1">
              <w:r w:rsidR="00144932" w:rsidRPr="00144932">
                <w:rPr>
                  <w:rStyle w:val="Hyperlink"/>
                  <w:rFonts w:eastAsia="Calibri" w:cs="Calibri"/>
                  <w:sz w:val="16"/>
                  <w:szCs w:val="16"/>
                </w:rPr>
                <w:t>Reflect#23</w:t>
              </w:r>
            </w:hyperlink>
          </w:p>
        </w:tc>
      </w:tr>
      <w:tr w:rsidR="00687199" w:rsidRPr="004B45A1" w14:paraId="3EB57184" w14:textId="77777777" w:rsidTr="00687199">
        <w:trPr>
          <w:trHeight w:val="474"/>
        </w:trPr>
        <w:tc>
          <w:tcPr>
            <w:tcW w:w="11071" w:type="dxa"/>
            <w:gridSpan w:val="5"/>
          </w:tcPr>
          <w:p w14:paraId="6692218E" w14:textId="2A08B97D" w:rsidR="00687199" w:rsidRPr="00687199" w:rsidRDefault="00687199" w:rsidP="00687199">
            <w:pPr>
              <w:pStyle w:val="Keypractices"/>
              <w:ind w:left="0"/>
              <w:rPr>
                <w:noProof/>
                <w:color w:val="000000" w:themeColor="text1"/>
                <w:sz w:val="13"/>
                <w:szCs w:val="13"/>
              </w:rPr>
            </w:pPr>
            <w:r>
              <w:rPr>
                <w:noProof/>
                <w:color w:val="2F5496" w:themeColor="accent5" w:themeShade="BF"/>
                <w:sz w:val="13"/>
                <w:szCs w:val="13"/>
              </w:rPr>
              <w:t xml:space="preserve">Summative Performance Task: </w:t>
            </w:r>
            <w:r w:rsidRPr="00687199">
              <w:rPr>
                <w:bCs/>
                <w:i/>
                <w:iCs/>
                <w:noProof/>
                <w:color w:val="000000" w:themeColor="text1"/>
                <w:sz w:val="13"/>
                <w:szCs w:val="13"/>
              </w:rPr>
              <w:t>Argument:</w:t>
            </w:r>
            <w:r w:rsidRPr="00687199">
              <w:rPr>
                <w:noProof/>
                <w:color w:val="000000" w:themeColor="text1"/>
                <w:sz w:val="13"/>
                <w:szCs w:val="13"/>
              </w:rPr>
              <w:t> Are students protected by the First Amendment? Construct an argument (e.g., detailed outline, poster, essay) that addresses the compelling question using specific claims and relevant evidence from historical and contemporary sources while acknowledging competing views.</w:t>
            </w:r>
            <w:r w:rsidR="002D1963">
              <w:rPr>
                <w:noProof/>
                <w:color w:val="000000" w:themeColor="text1"/>
                <w:sz w:val="13"/>
                <w:szCs w:val="13"/>
              </w:rPr>
              <w:t xml:space="preserve"> </w:t>
            </w:r>
            <w:r w:rsidRPr="00687199">
              <w:rPr>
                <w:bCs/>
                <w:i/>
                <w:iCs/>
                <w:noProof/>
                <w:color w:val="000000" w:themeColor="text1"/>
                <w:sz w:val="13"/>
                <w:szCs w:val="13"/>
              </w:rPr>
              <w:t>Extension:</w:t>
            </w:r>
            <w:r w:rsidRPr="00687199">
              <w:rPr>
                <w:noProof/>
                <w:color w:val="000000" w:themeColor="text1"/>
                <w:sz w:val="13"/>
                <w:szCs w:val="13"/>
              </w:rPr>
              <w:t> Have an informed debate in class about whether students are protected by the First Amendment.</w:t>
            </w:r>
          </w:p>
        </w:tc>
      </w:tr>
    </w:tbl>
    <w:p w14:paraId="3230A4D4" w14:textId="77777777" w:rsidR="00B91FD1" w:rsidRDefault="00B91FD1"/>
    <w:sectPr w:rsidR="00B91FD1" w:rsidSect="00341C38">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58"/>
    <w:rsid w:val="000C22EA"/>
    <w:rsid w:val="000C35E7"/>
    <w:rsid w:val="000E18DB"/>
    <w:rsid w:val="00144932"/>
    <w:rsid w:val="00157C89"/>
    <w:rsid w:val="001B7DEE"/>
    <w:rsid w:val="001C4578"/>
    <w:rsid w:val="001D025E"/>
    <w:rsid w:val="00250559"/>
    <w:rsid w:val="00284EAF"/>
    <w:rsid w:val="002D1963"/>
    <w:rsid w:val="002E4C23"/>
    <w:rsid w:val="00341C38"/>
    <w:rsid w:val="00424AF4"/>
    <w:rsid w:val="00512A1B"/>
    <w:rsid w:val="00543347"/>
    <w:rsid w:val="00595075"/>
    <w:rsid w:val="00687199"/>
    <w:rsid w:val="00802A90"/>
    <w:rsid w:val="00925B67"/>
    <w:rsid w:val="009C2221"/>
    <w:rsid w:val="009F74BC"/>
    <w:rsid w:val="00AA35BF"/>
    <w:rsid w:val="00AB6C78"/>
    <w:rsid w:val="00AF5447"/>
    <w:rsid w:val="00B1290E"/>
    <w:rsid w:val="00B7699E"/>
    <w:rsid w:val="00B831F6"/>
    <w:rsid w:val="00B91FD1"/>
    <w:rsid w:val="00BB6758"/>
    <w:rsid w:val="00C67B8A"/>
    <w:rsid w:val="00CB4D68"/>
    <w:rsid w:val="00CD5B17"/>
    <w:rsid w:val="00CF4217"/>
    <w:rsid w:val="00E14D6B"/>
    <w:rsid w:val="00ED2922"/>
    <w:rsid w:val="00FD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B26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6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BB6758"/>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BB6758"/>
    <w:pPr>
      <w:jc w:val="center"/>
    </w:pPr>
    <w:rPr>
      <w:rFonts w:ascii="Calibri" w:eastAsia="Arial" w:hAnsi="Calibri" w:cs="Arial"/>
      <w:b/>
      <w:bCs/>
      <w:color w:val="FFFFFF"/>
      <w:sz w:val="36"/>
      <w:szCs w:val="28"/>
    </w:rPr>
  </w:style>
  <w:style w:type="paragraph" w:customStyle="1" w:styleId="Tabletext">
    <w:name w:val="Table text"/>
    <w:basedOn w:val="Normal"/>
    <w:qFormat/>
    <w:rsid w:val="00BB6758"/>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CD5B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91728">
      <w:bodyDiv w:val="1"/>
      <w:marLeft w:val="0"/>
      <w:marRight w:val="0"/>
      <w:marTop w:val="0"/>
      <w:marBottom w:val="0"/>
      <w:divBdr>
        <w:top w:val="none" w:sz="0" w:space="0" w:color="auto"/>
        <w:left w:val="none" w:sz="0" w:space="0" w:color="auto"/>
        <w:bottom w:val="none" w:sz="0" w:space="0" w:color="auto"/>
        <w:right w:val="none" w:sz="0" w:space="0" w:color="auto"/>
      </w:divBdr>
      <w:divsChild>
        <w:div w:id="664866836">
          <w:marLeft w:val="0"/>
          <w:marRight w:val="0"/>
          <w:marTop w:val="0"/>
          <w:marBottom w:val="0"/>
          <w:divBdr>
            <w:top w:val="none" w:sz="0" w:space="0" w:color="auto"/>
            <w:left w:val="none" w:sz="0" w:space="0" w:color="auto"/>
            <w:bottom w:val="none" w:sz="0" w:space="0" w:color="auto"/>
            <w:right w:val="none" w:sz="0" w:space="0" w:color="auto"/>
          </w:divBdr>
        </w:div>
        <w:div w:id="1701012531">
          <w:marLeft w:val="0"/>
          <w:marRight w:val="0"/>
          <w:marTop w:val="0"/>
          <w:marBottom w:val="0"/>
          <w:divBdr>
            <w:top w:val="none" w:sz="0" w:space="0" w:color="auto"/>
            <w:left w:val="none" w:sz="0" w:space="0" w:color="auto"/>
            <w:bottom w:val="none" w:sz="0" w:space="0" w:color="auto"/>
            <w:right w:val="none" w:sz="0" w:space="0" w:color="auto"/>
          </w:divBdr>
        </w:div>
      </w:divsChild>
    </w:div>
    <w:div w:id="432289771">
      <w:bodyDiv w:val="1"/>
      <w:marLeft w:val="0"/>
      <w:marRight w:val="0"/>
      <w:marTop w:val="0"/>
      <w:marBottom w:val="0"/>
      <w:divBdr>
        <w:top w:val="none" w:sz="0" w:space="0" w:color="auto"/>
        <w:left w:val="none" w:sz="0" w:space="0" w:color="auto"/>
        <w:bottom w:val="none" w:sz="0" w:space="0" w:color="auto"/>
        <w:right w:val="none" w:sz="0" w:space="0" w:color="auto"/>
      </w:divBdr>
      <w:divsChild>
        <w:div w:id="1095635279">
          <w:marLeft w:val="0"/>
          <w:marRight w:val="0"/>
          <w:marTop w:val="0"/>
          <w:marBottom w:val="0"/>
          <w:divBdr>
            <w:top w:val="none" w:sz="0" w:space="0" w:color="auto"/>
            <w:left w:val="none" w:sz="0" w:space="0" w:color="auto"/>
            <w:bottom w:val="none" w:sz="0" w:space="0" w:color="auto"/>
            <w:right w:val="none" w:sz="0" w:space="0" w:color="auto"/>
          </w:divBdr>
        </w:div>
        <w:div w:id="588083352">
          <w:marLeft w:val="0"/>
          <w:marRight w:val="0"/>
          <w:marTop w:val="0"/>
          <w:marBottom w:val="0"/>
          <w:divBdr>
            <w:top w:val="none" w:sz="0" w:space="0" w:color="auto"/>
            <w:left w:val="none" w:sz="0" w:space="0" w:color="auto"/>
            <w:bottom w:val="none" w:sz="0" w:space="0" w:color="auto"/>
            <w:right w:val="none" w:sz="0" w:space="0" w:color="auto"/>
          </w:divBdr>
        </w:div>
      </w:divsChild>
    </w:div>
    <w:div w:id="678117766">
      <w:bodyDiv w:val="1"/>
      <w:marLeft w:val="0"/>
      <w:marRight w:val="0"/>
      <w:marTop w:val="0"/>
      <w:marBottom w:val="0"/>
      <w:divBdr>
        <w:top w:val="none" w:sz="0" w:space="0" w:color="auto"/>
        <w:left w:val="none" w:sz="0" w:space="0" w:color="auto"/>
        <w:bottom w:val="none" w:sz="0" w:space="0" w:color="auto"/>
        <w:right w:val="none" w:sz="0" w:space="0" w:color="auto"/>
      </w:divBdr>
    </w:div>
    <w:div w:id="1876040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quiryk12.ischool.syr.edu/esifc-assessments/connect/" TargetMode="External"/><Relationship Id="rId20" Type="http://schemas.openxmlformats.org/officeDocument/2006/relationships/hyperlink" Target="http://inquiryk12.ischool.syr.edu/esifc-assessments/investigate/" TargetMode="External"/><Relationship Id="rId21" Type="http://schemas.openxmlformats.org/officeDocument/2006/relationships/hyperlink" Target="http://inquiryk12.ischool.syr.edu/esifc-assessments/investigate/" TargetMode="External"/><Relationship Id="rId22" Type="http://schemas.openxmlformats.org/officeDocument/2006/relationships/hyperlink" Target="http://www.c3teachers.org/wp-content/uploads/2015/08/NewYork_12_Students_Rights.pdf" TargetMode="External"/><Relationship Id="rId23" Type="http://schemas.openxmlformats.org/officeDocument/2006/relationships/hyperlink" Target="http://inquiryk12.ischool.syr.edu/esifc-assessments/construct/" TargetMode="External"/><Relationship Id="rId24" Type="http://schemas.openxmlformats.org/officeDocument/2006/relationships/hyperlink" Target="http://inquiryk12.ischool.syr.edu/esifc-assessments/construct/" TargetMode="External"/><Relationship Id="rId25" Type="http://schemas.openxmlformats.org/officeDocument/2006/relationships/hyperlink" Target="http://inquiryk12.ischool.syr.edu/esifc-assessments/construct/" TargetMode="External"/><Relationship Id="rId26" Type="http://schemas.openxmlformats.org/officeDocument/2006/relationships/hyperlink" Target="http://inquiryk12.ischool.syr.edu/esifc-assessments/reflect/"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inquiryk12.ischool.syr.edu/esifc-assessments/connect/" TargetMode="External"/><Relationship Id="rId11" Type="http://schemas.openxmlformats.org/officeDocument/2006/relationships/hyperlink" Target="http://inquiryk12.ischool.syr.edu/esifc-assessments/connect/" TargetMode="External"/><Relationship Id="rId12" Type="http://schemas.openxmlformats.org/officeDocument/2006/relationships/hyperlink" Target="http://inquiryk12.ischool.syr.edu/esifc-assessments/wonder/" TargetMode="External"/><Relationship Id="rId13" Type="http://schemas.openxmlformats.org/officeDocument/2006/relationships/hyperlink" Target="http://inquiryk12.ischool.syr.edu/esifc-assessments/wonder/" TargetMode="External"/><Relationship Id="rId14" Type="http://schemas.openxmlformats.org/officeDocument/2006/relationships/hyperlink" Target="http://inquiryk12.ischool.syr.edu/esifc-assessments/wonder/" TargetMode="External"/><Relationship Id="rId15" Type="http://schemas.openxmlformats.org/officeDocument/2006/relationships/hyperlink" Target="http://inquiryk12.ischool.syr.edu/esifc-assessments/wonder/" TargetMode="External"/><Relationship Id="rId16" Type="http://schemas.openxmlformats.org/officeDocument/2006/relationships/hyperlink" Target="http://inquiryk12.ischool.syr.edu/esifc-assessments/wonder/" TargetMode="External"/><Relationship Id="rId17" Type="http://schemas.openxmlformats.org/officeDocument/2006/relationships/hyperlink" Target="http://inquiryk12.ischool.syr.edu/esifc-assessments/investigate/" TargetMode="External"/><Relationship Id="rId18" Type="http://schemas.openxmlformats.org/officeDocument/2006/relationships/hyperlink" Target="http://inquiryk12.ischool.syr.edu/esifc-assessments/investigate/" TargetMode="External"/><Relationship Id="rId19" Type="http://schemas.openxmlformats.org/officeDocument/2006/relationships/hyperlink" Target="http://inquiryk12.ischool.syr.edu/esifc-assessments/investigate/"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first-amendment/"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1093</Words>
  <Characters>6236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2</cp:revision>
  <dcterms:created xsi:type="dcterms:W3CDTF">2016-09-26T18:30:00Z</dcterms:created>
  <dcterms:modified xsi:type="dcterms:W3CDTF">2016-09-26T18:30:00Z</dcterms:modified>
</cp:coreProperties>
</file>