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1407" w14:textId="68FB5D5C" w:rsidR="001D7B7F" w:rsidRPr="00436F64" w:rsidRDefault="001D7B7F" w:rsidP="001D7B7F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12th Grade </w:t>
      </w:r>
      <w:hyperlink r:id="rId4" w:history="1">
        <w:r w:rsidRPr="000C1FD9">
          <w:rPr>
            <w:rStyle w:val="Hyperlink"/>
            <w:rFonts w:ascii="Calibri" w:hAnsi="Calibri"/>
            <w:b/>
            <w:sz w:val="32"/>
            <w:szCs w:val="32"/>
          </w:rPr>
          <w:t>Voting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1D7B7F" w:rsidRPr="00B2102A" w14:paraId="649D81FA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9E22B22" w14:textId="77777777" w:rsidR="001D7B7F" w:rsidRPr="00B2102A" w:rsidRDefault="001D7B7F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Am I Going to Vote?</w:t>
            </w:r>
          </w:p>
        </w:tc>
      </w:tr>
      <w:tr w:rsidR="001D7B7F" w:rsidRPr="00B2102A" w14:paraId="0075C18C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099050BB" w14:textId="29EE110C" w:rsidR="001D7B7F" w:rsidRPr="00ED56BC" w:rsidRDefault="001D7B7F" w:rsidP="00311C0A">
            <w:pPr>
              <w:jc w:val="center"/>
              <w:rPr>
                <w:rFonts w:eastAsia="Georgia" w:cs="Georgia"/>
                <w:b/>
                <w:sz w:val="20"/>
                <w:szCs w:val="20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ED56BC">
              <w:rPr>
                <w:rFonts w:eastAsia="Georgia" w:cs="Georgia"/>
                <w:b/>
                <w:sz w:val="20"/>
                <w:szCs w:val="20"/>
              </w:rPr>
              <w:t>UNDERSTAND Investigate the registration process for voting. ASSESS Discuss whether or not students in class would or could register to vote.</w:t>
            </w:r>
          </w:p>
        </w:tc>
      </w:tr>
      <w:tr w:rsidR="001D7B7F" w:rsidRPr="00B2102A" w14:paraId="711258D2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408EC065" w14:textId="77777777" w:rsidR="001D7B7F" w:rsidRPr="00075334" w:rsidRDefault="001D7B7F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F77C6CC" w14:textId="77777777" w:rsidR="001D7B7F" w:rsidRPr="006C2550" w:rsidRDefault="001D7B7F" w:rsidP="00311C0A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78DB6" wp14:editId="488435D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AFCF3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13115D55" wp14:editId="1C36478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0E8B5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Civic Participation 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0980" w:type="dxa"/>
        <w:tblLook w:val="04A0" w:firstRow="1" w:lastRow="0" w:firstColumn="1" w:lastColumn="0" w:noHBand="0" w:noVBand="1"/>
      </w:tblPr>
      <w:tblGrid>
        <w:gridCol w:w="3317"/>
        <w:gridCol w:w="3690"/>
        <w:gridCol w:w="3973"/>
      </w:tblGrid>
      <w:tr w:rsidR="001D7B7F" w:rsidRPr="004B45A1" w14:paraId="5D3A4E70" w14:textId="77777777" w:rsidTr="00FE465A">
        <w:trPr>
          <w:trHeight w:val="236"/>
        </w:trPr>
        <w:tc>
          <w:tcPr>
            <w:tcW w:w="3317" w:type="dxa"/>
            <w:shd w:val="clear" w:color="auto" w:fill="4472C4" w:themeFill="accent5"/>
          </w:tcPr>
          <w:p w14:paraId="67E672E3" w14:textId="77777777" w:rsidR="001D7B7F" w:rsidRPr="004B45A1" w:rsidRDefault="001D7B7F" w:rsidP="00FE465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ED25F63" w14:textId="77777777" w:rsidR="001D7B7F" w:rsidRPr="004B45A1" w:rsidRDefault="001D7B7F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73" w:type="dxa"/>
            <w:shd w:val="clear" w:color="auto" w:fill="4472C4" w:themeFill="accent5"/>
          </w:tcPr>
          <w:p w14:paraId="37A2022D" w14:textId="77777777" w:rsidR="001D7B7F" w:rsidRPr="004B45A1" w:rsidRDefault="001D7B7F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1D7B7F" w14:paraId="4698A76F" w14:textId="77777777" w:rsidTr="00FE465A">
        <w:trPr>
          <w:trHeight w:val="650"/>
        </w:trPr>
        <w:tc>
          <w:tcPr>
            <w:tcW w:w="3317" w:type="dxa"/>
            <w:vAlign w:val="center"/>
          </w:tcPr>
          <w:p w14:paraId="20E01394" w14:textId="77777777" w:rsidR="001D7B7F" w:rsidRPr="004B5B85" w:rsidRDefault="001D7B7F" w:rsidP="00311C0A">
            <w:pPr>
              <w:pStyle w:val="Tabletext"/>
            </w:pPr>
            <w:r>
              <w:t>How has the youth voter changed over time?</w:t>
            </w:r>
          </w:p>
        </w:tc>
        <w:tc>
          <w:tcPr>
            <w:tcW w:w="3690" w:type="dxa"/>
            <w:vAlign w:val="center"/>
          </w:tcPr>
          <w:p w14:paraId="4F5BD607" w14:textId="77777777" w:rsidR="001D7B7F" w:rsidRPr="004B5B85" w:rsidRDefault="001D7B7F" w:rsidP="00311C0A">
            <w:pPr>
              <w:pStyle w:val="Tabletext"/>
            </w:pPr>
            <w:r>
              <w:t>What are the reasons some youth choose to vote?</w:t>
            </w:r>
          </w:p>
        </w:tc>
        <w:tc>
          <w:tcPr>
            <w:tcW w:w="3973" w:type="dxa"/>
            <w:vAlign w:val="center"/>
          </w:tcPr>
          <w:p w14:paraId="112EAC67" w14:textId="77777777" w:rsidR="001D7B7F" w:rsidRPr="004B5B85" w:rsidRDefault="001D7B7F" w:rsidP="00311C0A">
            <w:pPr>
              <w:pStyle w:val="Tabletext"/>
            </w:pPr>
            <w:r>
              <w:t>What are the reasons some youth choose not to vote?</w:t>
            </w:r>
          </w:p>
        </w:tc>
      </w:tr>
      <w:tr w:rsidR="001D7B7F" w:rsidRPr="004B45A1" w14:paraId="659C12B8" w14:textId="77777777" w:rsidTr="00FE465A">
        <w:trPr>
          <w:trHeight w:val="371"/>
        </w:trPr>
        <w:tc>
          <w:tcPr>
            <w:tcW w:w="3317" w:type="dxa"/>
            <w:shd w:val="clear" w:color="auto" w:fill="4472C4" w:themeFill="accent5"/>
          </w:tcPr>
          <w:p w14:paraId="695C3A1E" w14:textId="77777777" w:rsidR="001D7B7F" w:rsidRPr="004B45A1" w:rsidRDefault="001D7B7F" w:rsidP="00FE465A">
            <w:pPr>
              <w:jc w:val="center"/>
              <w:rPr>
                <w:b/>
                <w:color w:val="FFFFFF" w:themeColor="background1"/>
              </w:rPr>
            </w:pPr>
            <w:bookmarkStart w:id="0" w:name="_GoBack" w:colFirst="0" w:colLast="2"/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122E8737" w14:textId="77777777" w:rsidR="001D7B7F" w:rsidRPr="004B45A1" w:rsidRDefault="001D7B7F" w:rsidP="00FE465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73" w:type="dxa"/>
            <w:shd w:val="clear" w:color="auto" w:fill="4472C4" w:themeFill="accent5"/>
          </w:tcPr>
          <w:p w14:paraId="1E05F531" w14:textId="77777777" w:rsidR="001D7B7F" w:rsidRPr="004B45A1" w:rsidRDefault="001D7B7F" w:rsidP="00FE465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bookmarkEnd w:id="0"/>
      <w:tr w:rsidR="001D7B7F" w14:paraId="6C133F65" w14:textId="77777777" w:rsidTr="00FE465A">
        <w:trPr>
          <w:trHeight w:val="479"/>
        </w:trPr>
        <w:tc>
          <w:tcPr>
            <w:tcW w:w="3317" w:type="dxa"/>
            <w:vAlign w:val="center"/>
          </w:tcPr>
          <w:p w14:paraId="2F870658" w14:textId="77777777" w:rsidR="001D7B7F" w:rsidRPr="00AE597E" w:rsidRDefault="001D7B7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AE597E">
              <w:rPr>
                <w:b w:val="0"/>
                <w:noProof/>
                <w:color w:val="auto"/>
                <w:sz w:val="20"/>
                <w:szCs w:val="20"/>
              </w:rPr>
              <w:t xml:space="preserve">List short-term and long-term trends in the youth voting record. </w:t>
            </w:r>
          </w:p>
        </w:tc>
        <w:tc>
          <w:tcPr>
            <w:tcW w:w="3690" w:type="dxa"/>
            <w:vAlign w:val="center"/>
          </w:tcPr>
          <w:p w14:paraId="6A0B2E37" w14:textId="77777777" w:rsidR="001D7B7F" w:rsidRPr="00D07A6D" w:rsidRDefault="001D7B7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D07A6D">
              <w:rPr>
                <w:b w:val="0"/>
                <w:noProof/>
                <w:color w:val="auto"/>
                <w:sz w:val="20"/>
                <w:szCs w:val="20"/>
              </w:rPr>
              <w:t xml:space="preserve">Develop a claim supported by evidence that answers the supporting question. </w:t>
            </w:r>
          </w:p>
        </w:tc>
        <w:tc>
          <w:tcPr>
            <w:tcW w:w="3973" w:type="dxa"/>
            <w:vAlign w:val="center"/>
          </w:tcPr>
          <w:p w14:paraId="49F8E26D" w14:textId="77777777" w:rsidR="001D7B7F" w:rsidRPr="00667918" w:rsidRDefault="001D7B7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667918">
              <w:rPr>
                <w:b w:val="0"/>
                <w:noProof/>
                <w:color w:val="auto"/>
                <w:sz w:val="20"/>
                <w:szCs w:val="20"/>
              </w:rPr>
              <w:t xml:space="preserve">Develop a claim supported by evidence that answers the supporting question. </w:t>
            </w:r>
          </w:p>
        </w:tc>
      </w:tr>
      <w:tr w:rsidR="00C606BB" w14:paraId="2F1DF65D" w14:textId="77777777" w:rsidTr="00FE465A">
        <w:trPr>
          <w:trHeight w:val="479"/>
        </w:trPr>
        <w:tc>
          <w:tcPr>
            <w:tcW w:w="10980" w:type="dxa"/>
            <w:gridSpan w:val="3"/>
            <w:shd w:val="clear" w:color="auto" w:fill="E7E6E6" w:themeFill="background2"/>
            <w:vAlign w:val="center"/>
          </w:tcPr>
          <w:p w14:paraId="42ED929A" w14:textId="734D83D8" w:rsidR="00C606BB" w:rsidRPr="00C606BB" w:rsidRDefault="00C606BB" w:rsidP="00C606BB">
            <w:pPr>
              <w:pStyle w:val="Keypractices"/>
              <w:jc w:val="center"/>
              <w:rPr>
                <w:b w:val="0"/>
                <w:noProof/>
                <w:color w:val="auto"/>
                <w:sz w:val="32"/>
                <w:szCs w:val="32"/>
              </w:rPr>
            </w:pPr>
            <w:r w:rsidRPr="00C606BB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FE465A" w14:paraId="7879320C" w14:textId="40801B1A" w:rsidTr="00FE465A">
        <w:trPr>
          <w:trHeight w:val="353"/>
        </w:trPr>
        <w:tc>
          <w:tcPr>
            <w:tcW w:w="3317" w:type="dxa"/>
            <w:shd w:val="clear" w:color="auto" w:fill="4472C4" w:themeFill="accent5"/>
          </w:tcPr>
          <w:p w14:paraId="755D5B81" w14:textId="49EBB99D" w:rsidR="00FE465A" w:rsidRPr="00C606BB" w:rsidRDefault="00FE465A" w:rsidP="00FE465A">
            <w:pPr>
              <w:pStyle w:val="Keypractices"/>
              <w:jc w:val="center"/>
              <w:rPr>
                <w:i/>
                <w:noProof/>
                <w:color w:val="000000" w:themeColor="text1"/>
                <w:sz w:val="32"/>
                <w:szCs w:val="32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7663" w:type="dxa"/>
            <w:gridSpan w:val="2"/>
            <w:shd w:val="clear" w:color="auto" w:fill="4472C4" w:themeFill="accent5"/>
          </w:tcPr>
          <w:p w14:paraId="32B58341" w14:textId="7BCD5FAA" w:rsidR="00FE465A" w:rsidRPr="00C606BB" w:rsidRDefault="00FE465A" w:rsidP="00FE465A">
            <w:pPr>
              <w:pStyle w:val="Keypractices"/>
              <w:jc w:val="center"/>
              <w:rPr>
                <w:i/>
                <w:noProof/>
                <w:color w:val="000000" w:themeColor="text1"/>
                <w:sz w:val="32"/>
                <w:szCs w:val="32"/>
              </w:rPr>
            </w:pPr>
            <w:r w:rsidRPr="004B45A1">
              <w:rPr>
                <w:color w:val="FFFFFF" w:themeColor="background1"/>
              </w:rPr>
              <w:t>Supporting Question 2</w:t>
            </w:r>
            <w:r>
              <w:rPr>
                <w:color w:val="FFFFFF" w:themeColor="background1"/>
              </w:rPr>
              <w:t xml:space="preserve"> and Supporting Question 3</w:t>
            </w:r>
          </w:p>
        </w:tc>
      </w:tr>
      <w:tr w:rsidR="00FE465A" w:rsidRPr="005515B1" w14:paraId="5FB39F7C" w14:textId="77777777" w:rsidTr="00FE465A">
        <w:trPr>
          <w:trHeight w:val="1433"/>
        </w:trPr>
        <w:tc>
          <w:tcPr>
            <w:tcW w:w="3317" w:type="dxa"/>
          </w:tcPr>
          <w:p w14:paraId="2257616F" w14:textId="51DBE195" w:rsidR="00FE465A" w:rsidRPr="00C606BB" w:rsidRDefault="00FE465A" w:rsidP="00FE465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075D6A">
              <w:rPr>
                <w:noProof/>
                <w:color w:val="auto"/>
                <w:sz w:val="16"/>
                <w:szCs w:val="16"/>
              </w:rPr>
              <w:t>Uses sources to acquire background information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the registration process for voting and participates in a class discussion about whether they would or could register to vote.</w:t>
            </w:r>
            <w:r w:rsidRPr="00C606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3973F0B1" w14:textId="20D667C4" w:rsidR="00FE465A" w:rsidRPr="00C606BB" w:rsidRDefault="00FE465A" w:rsidP="00FE465A">
            <w:pPr>
              <w:pStyle w:val="Keypractices"/>
              <w:rPr>
                <w:color w:val="2F5496" w:themeColor="accent5" w:themeShade="BF"/>
                <w:sz w:val="16"/>
                <w:szCs w:val="16"/>
              </w:rPr>
            </w:pPr>
            <w:r w:rsidRPr="00C606BB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  <w:hyperlink r:id="rId7" w:anchor="connect11" w:history="1">
              <w:r w:rsidRPr="00C07F45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7663" w:type="dxa"/>
            <w:gridSpan w:val="2"/>
          </w:tcPr>
          <w:p w14:paraId="091A6B7E" w14:textId="77777777" w:rsidR="00FE465A" w:rsidRDefault="00FE465A" w:rsidP="00FE465A">
            <w:pPr>
              <w:rPr>
                <w:noProof/>
                <w:sz w:val="16"/>
                <w:szCs w:val="16"/>
              </w:rPr>
            </w:pPr>
            <w:r w:rsidRPr="001D025E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1D025E">
              <w:rPr>
                <w:noProof/>
                <w:sz w:val="16"/>
                <w:szCs w:val="16"/>
              </w:rPr>
              <w:t xml:space="preserve"> </w:t>
            </w:r>
            <w:r w:rsidRPr="00B9631C">
              <w:rPr>
                <w:b/>
                <w:noProof/>
                <w:sz w:val="16"/>
                <w:szCs w:val="16"/>
              </w:rPr>
              <w:t>Identifies key words, concepts, and synonyms, both stated and implied, for topic and uses them to further research</w:t>
            </w:r>
            <w:r>
              <w:rPr>
                <w:noProof/>
                <w:sz w:val="16"/>
                <w:szCs w:val="16"/>
              </w:rPr>
              <w:t xml:space="preserve"> on the reasons that youth choose to vote or choose not to vote.  </w:t>
            </w:r>
          </w:p>
          <w:p w14:paraId="09BE2C3C" w14:textId="251D6F27" w:rsidR="00FE465A" w:rsidRPr="00C606BB" w:rsidRDefault="00FE465A" w:rsidP="00FE46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1D025E">
              <w:rPr>
                <w:b/>
                <w:noProof/>
                <w:sz w:val="16"/>
                <w:szCs w:val="16"/>
              </w:rPr>
              <w:t>Graphic Organizer</w:t>
            </w:r>
            <w:r>
              <w:rPr>
                <w:noProof/>
                <w:sz w:val="16"/>
                <w:szCs w:val="16"/>
              </w:rPr>
              <w:t xml:space="preserve">: </w:t>
            </w:r>
            <w:hyperlink r:id="rId8" w:anchor="connect19" w:history="1">
              <w:r w:rsidRPr="00C07F45">
                <w:rPr>
                  <w:rStyle w:val="Hyperlink"/>
                  <w:b/>
                  <w:noProof/>
                  <w:sz w:val="16"/>
                  <w:szCs w:val="16"/>
                </w:rPr>
                <w:t>Connect#19</w:t>
              </w:r>
            </w:hyperlink>
          </w:p>
        </w:tc>
      </w:tr>
      <w:tr w:rsidR="00FE465A" w14:paraId="579BB7A9" w14:textId="77777777" w:rsidTr="00FE465A">
        <w:trPr>
          <w:trHeight w:val="812"/>
        </w:trPr>
        <w:tc>
          <w:tcPr>
            <w:tcW w:w="3317" w:type="dxa"/>
          </w:tcPr>
          <w:p w14:paraId="03722AF5" w14:textId="6B753906" w:rsidR="00FE465A" w:rsidRPr="00D223AC" w:rsidRDefault="00FE465A" w:rsidP="00FE465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075D6A">
              <w:rPr>
                <w:color w:val="auto"/>
                <w:sz w:val="16"/>
                <w:szCs w:val="16"/>
              </w:rPr>
              <w:t>Determines what information is needed to support the investigation</w:t>
            </w:r>
            <w:r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75D6A">
              <w:rPr>
                <w:color w:val="auto"/>
                <w:sz w:val="16"/>
                <w:szCs w:val="16"/>
              </w:rPr>
              <w:t>and answer the question</w:t>
            </w:r>
            <w:r>
              <w:rPr>
                <w:b w:val="0"/>
                <w:color w:val="auto"/>
                <w:sz w:val="16"/>
                <w:szCs w:val="16"/>
              </w:rPr>
              <w:t xml:space="preserve"> about how the youth voter has changed over time.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663" w:type="dxa"/>
            <w:gridSpan w:val="2"/>
          </w:tcPr>
          <w:p w14:paraId="6C06B006" w14:textId="42407A92" w:rsidR="00FE465A" w:rsidRPr="00C07F45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B9631C">
              <w:rPr>
                <w:noProof/>
                <w:color w:val="auto"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the reasons why some youth choose to vote and some choose not to vote.</w:t>
            </w:r>
            <w:r w:rsidRPr="00C606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FE465A" w14:paraId="6895856F" w14:textId="77777777" w:rsidTr="00FE465A">
        <w:trPr>
          <w:trHeight w:val="850"/>
        </w:trPr>
        <w:tc>
          <w:tcPr>
            <w:tcW w:w="3317" w:type="dxa"/>
          </w:tcPr>
          <w:p w14:paraId="0BE1B460" w14:textId="16AD51E3" w:rsidR="00FE465A" w:rsidRPr="00075D6A" w:rsidRDefault="00FE465A" w:rsidP="00FE465A">
            <w:pPr>
              <w:rPr>
                <w:noProof/>
                <w:sz w:val="16"/>
                <w:szCs w:val="16"/>
              </w:rPr>
            </w:pPr>
            <w:r w:rsidRPr="00C606BB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075D6A">
              <w:rPr>
                <w:b/>
                <w:noProof/>
                <w:sz w:val="16"/>
                <w:szCs w:val="16"/>
              </w:rPr>
              <w:t>Recognizes st</w:t>
            </w:r>
            <w:r>
              <w:rPr>
                <w:b/>
                <w:noProof/>
                <w:sz w:val="16"/>
                <w:szCs w:val="16"/>
              </w:rPr>
              <w:t xml:space="preserve">atements that can be verified </w:t>
            </w:r>
            <w:r>
              <w:rPr>
                <w:noProof/>
                <w:sz w:val="16"/>
                <w:szCs w:val="16"/>
              </w:rPr>
              <w:t>while identifying trends in youth voting using census data accompanied by data from the Pew Research Center.</w:t>
            </w:r>
          </w:p>
        </w:tc>
        <w:tc>
          <w:tcPr>
            <w:tcW w:w="7663" w:type="dxa"/>
            <w:gridSpan w:val="2"/>
          </w:tcPr>
          <w:p w14:paraId="5AB854A8" w14:textId="6AD0723F" w:rsidR="00FE465A" w:rsidRPr="00C606BB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  <w:r w:rsidRPr="00B9631C">
              <w:rPr>
                <w:noProof/>
                <w:color w:val="auto"/>
                <w:sz w:val="16"/>
                <w:szCs w:val="16"/>
              </w:rPr>
              <w:t xml:space="preserve">Uses both facts and opinions responsibly by identifying and verifying them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while examining various sources that show why young people do and do not vote in elections.</w:t>
            </w:r>
          </w:p>
          <w:p w14:paraId="6C94A1F2" w14:textId="5453C12D" w:rsidR="00FE465A" w:rsidRDefault="00FE465A" w:rsidP="00FE465A">
            <w:pPr>
              <w:rPr>
                <w:b/>
                <w:noProof/>
                <w:sz w:val="16"/>
                <w:szCs w:val="16"/>
              </w:rPr>
            </w:pPr>
            <w:r w:rsidRPr="00C606BB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9" w:anchor="investigate71" w:history="1">
              <w:r w:rsidRPr="00C07F45">
                <w:rPr>
                  <w:rStyle w:val="Hyperlink"/>
                  <w:b/>
                  <w:noProof/>
                  <w:sz w:val="16"/>
                  <w:szCs w:val="16"/>
                </w:rPr>
                <w:t>Investigate#71</w:t>
              </w:r>
            </w:hyperlink>
          </w:p>
          <w:p w14:paraId="0E39813F" w14:textId="3CB8C9F9" w:rsidR="00FE465A" w:rsidRPr="000C1FD9" w:rsidRDefault="00FE465A" w:rsidP="00FE465A">
            <w:pPr>
              <w:rPr>
                <w:rStyle w:val="Hyperlink"/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0C1FD9">
              <w:rPr>
                <w:b/>
                <w:noProof/>
                <w:color w:val="000000" w:themeColor="text1"/>
                <w:sz w:val="16"/>
                <w:szCs w:val="16"/>
              </w:rPr>
              <w:fldChar w:fldCharType="begin"/>
            </w:r>
            <w:r w:rsidRPr="000C1FD9">
              <w:rPr>
                <w:b/>
                <w:noProof/>
                <w:color w:val="000000" w:themeColor="text1"/>
                <w:sz w:val="16"/>
                <w:szCs w:val="16"/>
              </w:rPr>
              <w:instrText xml:space="preserve"> HYPERLINK "http://www.c3teachers.org/wp-content/uploads/2015/09/NewYork_12_Voting.pdf" </w:instrText>
            </w:r>
            <w:r w:rsidRPr="000C1FD9">
              <w:rPr>
                <w:b/>
                <w:noProof/>
                <w:color w:val="000000" w:themeColor="text1"/>
                <w:sz w:val="16"/>
                <w:szCs w:val="16"/>
              </w:rPr>
            </w:r>
            <w:r w:rsidRPr="000C1FD9">
              <w:rPr>
                <w:b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0C1FD9">
              <w:rPr>
                <w:rStyle w:val="Hyperlink"/>
                <w:b/>
                <w:noProof/>
                <w:color w:val="000000" w:themeColor="text1"/>
                <w:sz w:val="16"/>
                <w:szCs w:val="16"/>
              </w:rPr>
              <w:t>C3 Resources</w:t>
            </w:r>
          </w:p>
          <w:p w14:paraId="1589F555" w14:textId="099035B8" w:rsidR="00FE465A" w:rsidRPr="00C606BB" w:rsidRDefault="00FE465A" w:rsidP="00FE465A">
            <w:pPr>
              <w:rPr>
                <w:color w:val="2F5496" w:themeColor="accent5" w:themeShade="BF"/>
                <w:sz w:val="16"/>
                <w:szCs w:val="16"/>
              </w:rPr>
            </w:pPr>
            <w:r w:rsidRPr="000C1FD9">
              <w:rPr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E465A" w14:paraId="611C5601" w14:textId="77777777" w:rsidTr="00FE465A">
        <w:trPr>
          <w:trHeight w:val="587"/>
        </w:trPr>
        <w:tc>
          <w:tcPr>
            <w:tcW w:w="3317" w:type="dxa"/>
          </w:tcPr>
          <w:p w14:paraId="07F2EB62" w14:textId="643DF863" w:rsidR="00FE465A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C606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075D6A">
              <w:rPr>
                <w:noProof/>
                <w:color w:val="auto"/>
                <w:sz w:val="16"/>
                <w:szCs w:val="16"/>
              </w:rPr>
              <w:t>Identifies facts and details that support main ideas.</w:t>
            </w:r>
            <w:r w:rsidRPr="00C606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B2CDF12" w14:textId="1DE9E89D" w:rsidR="00FE465A" w:rsidRPr="00C07F45" w:rsidRDefault="00FE465A" w:rsidP="00FE465A">
            <w:pPr>
              <w:pStyle w:val="Keypractices"/>
              <w:ind w:left="0"/>
              <w:rPr>
                <w:rStyle w:val="Hyperlink"/>
                <w:noProof/>
                <w:sz w:val="16"/>
                <w:szCs w:val="16"/>
              </w:rPr>
            </w:pPr>
            <w:r w:rsidRPr="00C606BB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construct10" w:history="1">
              <w:r w:rsidRPr="00C07F45">
                <w:rPr>
                  <w:rStyle w:val="Hyperlink"/>
                  <w:noProof/>
                  <w:sz w:val="16"/>
                  <w:szCs w:val="16"/>
                </w:rPr>
                <w:t>Construct#10</w:t>
              </w:r>
            </w:hyperlink>
            <w:r>
              <w:rPr>
                <w:noProof/>
                <w:color w:val="auto"/>
                <w:sz w:val="16"/>
                <w:szCs w:val="16"/>
              </w:rPr>
              <w:t xml:space="preserve"> and </w:t>
            </w:r>
            <w:r>
              <w:rPr>
                <w:noProof/>
                <w:color w:val="auto"/>
                <w:sz w:val="16"/>
                <w:szCs w:val="16"/>
              </w:rPr>
              <w:fldChar w:fldCharType="begin"/>
            </w:r>
            <w:r>
              <w:rPr>
                <w:noProof/>
                <w:color w:val="auto"/>
                <w:sz w:val="16"/>
                <w:szCs w:val="16"/>
              </w:rPr>
              <w:instrText xml:space="preserve"> HYPERLINK "http://inquiryk12.ischool.syr.edu/esifc-assessments/construct/" \l "construct11" </w:instrText>
            </w:r>
            <w:r>
              <w:rPr>
                <w:noProof/>
                <w:color w:val="auto"/>
                <w:sz w:val="16"/>
                <w:szCs w:val="16"/>
              </w:rPr>
            </w:r>
            <w:r>
              <w:rPr>
                <w:noProof/>
                <w:color w:val="auto"/>
                <w:sz w:val="16"/>
                <w:szCs w:val="16"/>
              </w:rPr>
              <w:fldChar w:fldCharType="separate"/>
            </w:r>
            <w:r w:rsidRPr="00C07F45">
              <w:rPr>
                <w:rStyle w:val="Hyperlink"/>
                <w:noProof/>
                <w:sz w:val="16"/>
                <w:szCs w:val="16"/>
              </w:rPr>
              <w:t>Construct#11</w:t>
            </w:r>
          </w:p>
          <w:p w14:paraId="13769706" w14:textId="659736B6" w:rsidR="00FE465A" w:rsidRPr="00C606BB" w:rsidRDefault="00FE465A" w:rsidP="00FE46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eastAsia="MS Mincho" w:hAnsi="Calibri" w:cs="Times New Roman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663" w:type="dxa"/>
            <w:gridSpan w:val="2"/>
          </w:tcPr>
          <w:p w14:paraId="2554BAAC" w14:textId="5207E1E2" w:rsidR="00FE465A" w:rsidRPr="00C606BB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  <w:r w:rsidRPr="00B9631C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examples.</w:t>
            </w:r>
          </w:p>
          <w:p w14:paraId="60DCC52D" w14:textId="04B62769" w:rsidR="00FE465A" w:rsidRPr="00C606BB" w:rsidRDefault="00FE465A" w:rsidP="00FE465A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C606BB">
              <w:rPr>
                <w:noProof/>
                <w:color w:val="auto"/>
                <w:sz w:val="16"/>
                <w:szCs w:val="16"/>
              </w:rPr>
              <w:t xml:space="preserve">Graphic Organizer:  </w:t>
            </w:r>
            <w:hyperlink r:id="rId11" w:anchor="construct40" w:history="1">
              <w:r w:rsidRPr="008C666C">
                <w:rPr>
                  <w:rStyle w:val="Hyperlink"/>
                  <w:noProof/>
                  <w:sz w:val="16"/>
                  <w:szCs w:val="16"/>
                </w:rPr>
                <w:t>Construct#40</w:t>
              </w:r>
            </w:hyperlink>
            <w:r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12" w:anchor="construct41" w:history="1">
              <w:r w:rsidRPr="008C666C">
                <w:rPr>
                  <w:rStyle w:val="Hyperlink"/>
                  <w:noProof/>
                  <w:sz w:val="16"/>
                  <w:szCs w:val="16"/>
                </w:rPr>
                <w:t>Construct#41</w:t>
              </w:r>
            </w:hyperlink>
          </w:p>
          <w:p w14:paraId="108533AE" w14:textId="77777777" w:rsidR="00FE465A" w:rsidRPr="00C606BB" w:rsidRDefault="00FE465A" w:rsidP="00FE465A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FE465A" w14:paraId="6F94238E" w14:textId="77777777" w:rsidTr="00FE465A">
        <w:trPr>
          <w:trHeight w:val="767"/>
        </w:trPr>
        <w:tc>
          <w:tcPr>
            <w:tcW w:w="3317" w:type="dxa"/>
          </w:tcPr>
          <w:p w14:paraId="171C3C42" w14:textId="51AA9EE0" w:rsidR="00FE465A" w:rsidRPr="00C606BB" w:rsidRDefault="00FE465A" w:rsidP="00FE46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6835B4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6835B4">
              <w:rPr>
                <w:noProof/>
                <w:sz w:val="16"/>
                <w:szCs w:val="16"/>
              </w:rPr>
              <w:t>List</w:t>
            </w:r>
            <w:r>
              <w:rPr>
                <w:noProof/>
                <w:sz w:val="16"/>
                <w:szCs w:val="16"/>
              </w:rPr>
              <w:t>s</w:t>
            </w:r>
            <w:r w:rsidRPr="006835B4">
              <w:rPr>
                <w:noProof/>
                <w:sz w:val="16"/>
                <w:szCs w:val="16"/>
              </w:rPr>
              <w:t xml:space="preserve"> short-term and long-term trends in the youth voting record.</w:t>
            </w:r>
          </w:p>
        </w:tc>
        <w:tc>
          <w:tcPr>
            <w:tcW w:w="7663" w:type="dxa"/>
            <w:gridSpan w:val="2"/>
          </w:tcPr>
          <w:p w14:paraId="5A0DEE5C" w14:textId="1B72304E" w:rsidR="00FE465A" w:rsidRPr="008B1303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  <w:r w:rsidRPr="008B1303">
              <w:rPr>
                <w:b w:val="0"/>
                <w:noProof/>
                <w:color w:val="auto"/>
                <w:sz w:val="16"/>
                <w:szCs w:val="16"/>
              </w:rPr>
              <w:t>Develop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Pr="008B1303">
              <w:rPr>
                <w:b w:val="0"/>
                <w:noProof/>
                <w:color w:val="auto"/>
                <w:sz w:val="16"/>
                <w:szCs w:val="16"/>
              </w:rPr>
              <w:t xml:space="preserve"> a c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laim supported by evidence about the reasons why youth choose to vote or choose not to vote.</w:t>
            </w:r>
          </w:p>
          <w:p w14:paraId="396EED58" w14:textId="637E19C9" w:rsidR="00FE465A" w:rsidRPr="00C606BB" w:rsidRDefault="00FE465A" w:rsidP="00FE465A">
            <w:pPr>
              <w:rPr>
                <w:color w:val="2F5496" w:themeColor="accent5" w:themeShade="BF"/>
                <w:sz w:val="16"/>
                <w:szCs w:val="16"/>
              </w:rPr>
            </w:pPr>
            <w:r w:rsidRPr="00C606BB">
              <w:rPr>
                <w:b/>
                <w:noProof/>
                <w:sz w:val="16"/>
                <w:szCs w:val="16"/>
              </w:rPr>
              <w:t>Graphic Organizer:</w:t>
            </w:r>
            <w:r w:rsidRPr="00C07F45">
              <w:rPr>
                <w:b/>
                <w:noProof/>
                <w:sz w:val="16"/>
                <w:szCs w:val="16"/>
              </w:rPr>
              <w:t xml:space="preserve"> </w:t>
            </w:r>
            <w:hyperlink r:id="rId13" w:anchor="e.3" w:history="1">
              <w:r w:rsidRPr="00C07F45">
                <w:rPr>
                  <w:rStyle w:val="Hyperlink"/>
                  <w:b/>
                  <w:noProof/>
                  <w:sz w:val="16"/>
                  <w:szCs w:val="16"/>
                </w:rPr>
                <w:t>Express#3</w:t>
              </w:r>
            </w:hyperlink>
          </w:p>
        </w:tc>
      </w:tr>
      <w:tr w:rsidR="00FE465A" w:rsidRPr="004B45A1" w14:paraId="3DEE6C62" w14:textId="77777777" w:rsidTr="00FE465A">
        <w:trPr>
          <w:trHeight w:val="947"/>
        </w:trPr>
        <w:tc>
          <w:tcPr>
            <w:tcW w:w="3317" w:type="dxa"/>
          </w:tcPr>
          <w:p w14:paraId="2124EF94" w14:textId="4D9DFE81" w:rsidR="00FE465A" w:rsidRPr="00C606BB" w:rsidRDefault="00FE465A" w:rsidP="00FE46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C606BB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663" w:type="dxa"/>
            <w:gridSpan w:val="2"/>
          </w:tcPr>
          <w:p w14:paraId="689C0801" w14:textId="2C2622CF" w:rsidR="00FE465A" w:rsidRPr="00C606BB" w:rsidRDefault="00FE465A" w:rsidP="00FE46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606BB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606BB">
              <w:rPr>
                <w:noProof/>
                <w:sz w:val="16"/>
                <w:szCs w:val="16"/>
              </w:rPr>
              <w:t xml:space="preserve"> </w:t>
            </w:r>
            <w:r w:rsidRPr="00B9631C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Pr="00C606B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4DBC3AC" w14:textId="03FE62A5" w:rsidR="00FE465A" w:rsidRPr="00C606BB" w:rsidRDefault="00FE465A" w:rsidP="00FE46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C606BB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14" w:anchor="reflect19" w:history="1">
              <w:r w:rsidRPr="00B21599">
                <w:rPr>
                  <w:rStyle w:val="Hyperlink"/>
                  <w:b/>
                  <w:noProof/>
                  <w:sz w:val="16"/>
                  <w:szCs w:val="16"/>
                </w:rPr>
                <w:t>Reflect#19</w:t>
              </w:r>
            </w:hyperlink>
          </w:p>
        </w:tc>
      </w:tr>
      <w:tr w:rsidR="00FE465A" w:rsidRPr="004B45A1" w14:paraId="2821E682" w14:textId="77777777" w:rsidTr="00FE465A">
        <w:trPr>
          <w:trHeight w:val="650"/>
        </w:trPr>
        <w:tc>
          <w:tcPr>
            <w:tcW w:w="10980" w:type="dxa"/>
            <w:gridSpan w:val="3"/>
          </w:tcPr>
          <w:p w14:paraId="4A11CE3D" w14:textId="2D10C39D" w:rsidR="00FE465A" w:rsidRPr="00C606BB" w:rsidRDefault="00FE465A" w:rsidP="00FE465A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bCs/>
                <w:i/>
                <w:iCs/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8F718F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8F718F">
              <w:rPr>
                <w:noProof/>
                <w:color w:val="000000" w:themeColor="text1"/>
                <w:sz w:val="16"/>
                <w:szCs w:val="16"/>
              </w:rPr>
              <w:t> Construct an argument (e.g., detailed outline, poster, essay) that addresses the compelling question “Am I going to vote?” using specific claims and relevant evidence from historical sources while acknowledging competing perspectives.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8F718F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8F718F">
              <w:rPr>
                <w:noProof/>
                <w:color w:val="000000" w:themeColor="text1"/>
                <w:sz w:val="16"/>
                <w:szCs w:val="16"/>
              </w:rPr>
              <w:t> Participate in a class discussion on their decisions to register or not register to vote by examining whether or not they are likely to vote in the next presidential election.</w:t>
            </w:r>
          </w:p>
        </w:tc>
      </w:tr>
    </w:tbl>
    <w:p w14:paraId="7EC0CFB4" w14:textId="77777777" w:rsidR="001D7B7F" w:rsidRDefault="001D7B7F" w:rsidP="001D7B7F"/>
    <w:p w14:paraId="23F5E2D2" w14:textId="77777777" w:rsidR="00250559" w:rsidRDefault="00250559"/>
    <w:sectPr w:rsidR="00250559" w:rsidSect="008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7F"/>
    <w:rsid w:val="00075D6A"/>
    <w:rsid w:val="00085CDE"/>
    <w:rsid w:val="000C1FD9"/>
    <w:rsid w:val="001025B9"/>
    <w:rsid w:val="001B2DFC"/>
    <w:rsid w:val="001D7B7F"/>
    <w:rsid w:val="00221C40"/>
    <w:rsid w:val="00250559"/>
    <w:rsid w:val="00682F8A"/>
    <w:rsid w:val="006835B4"/>
    <w:rsid w:val="008B1303"/>
    <w:rsid w:val="008F718F"/>
    <w:rsid w:val="009E65A2"/>
    <w:rsid w:val="00AF5447"/>
    <w:rsid w:val="00B21599"/>
    <w:rsid w:val="00B9631C"/>
    <w:rsid w:val="00C07F45"/>
    <w:rsid w:val="00C47732"/>
    <w:rsid w:val="00C606BB"/>
    <w:rsid w:val="00D223AC"/>
    <w:rsid w:val="00DF44D7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B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1D7B7F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1D7B7F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1D7B7F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9E65A2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E65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hyperlink" Target="http://inquiryk12.ischool.syr.edu/esifc-assessments/construct/" TargetMode="External"/><Relationship Id="rId13" Type="http://schemas.openxmlformats.org/officeDocument/2006/relationships/hyperlink" Target="http://esifc.weebly.com/express.html/" TargetMode="External"/><Relationship Id="rId14" Type="http://schemas.openxmlformats.org/officeDocument/2006/relationships/hyperlink" Target="http://inquiryk12.ischool.syr.edu/esifc-assessments/refle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voting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investigate/" TargetMode="External"/><Relationship Id="rId10" Type="http://schemas.openxmlformats.org/officeDocument/2006/relationships/hyperlink" Target="http://inquiryk12.ischool.syr.edu/esifc-assessments/constr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2</cp:revision>
  <dcterms:created xsi:type="dcterms:W3CDTF">2016-09-26T18:31:00Z</dcterms:created>
  <dcterms:modified xsi:type="dcterms:W3CDTF">2016-09-26T18:31:00Z</dcterms:modified>
</cp:coreProperties>
</file>